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D633" w14:textId="77777777" w:rsidR="00B752DC" w:rsidRDefault="00B752DC" w:rsidP="00B752DC">
      <w:pPr>
        <w:pStyle w:val="Heading1"/>
      </w:pPr>
      <w:r>
        <w:t>Home-Grown Cereals Authority Pension Plan</w:t>
      </w:r>
    </w:p>
    <w:p w14:paraId="6F502737" w14:textId="77777777" w:rsidR="00F05FAB" w:rsidRDefault="0094279F" w:rsidP="00F05FAB">
      <w:pPr>
        <w:pStyle w:val="Heading1"/>
      </w:pPr>
      <w:r>
        <w:t>Implementation Statement</w:t>
      </w:r>
    </w:p>
    <w:p w14:paraId="4A60A57B" w14:textId="652618CA" w:rsidR="00530894" w:rsidRDefault="00B752DC" w:rsidP="00530894">
      <w:pPr>
        <w:pStyle w:val="BodyText"/>
      </w:pPr>
      <w:r w:rsidRPr="00B752DC">
        <w:t>This is the Implementation Statement prepared by the Trustee</w:t>
      </w:r>
      <w:r>
        <w:t xml:space="preserve"> </w:t>
      </w:r>
      <w:r w:rsidRPr="00B752DC">
        <w:t xml:space="preserve">of the </w:t>
      </w:r>
      <w:r>
        <w:t>Home-Grown Cereals Authority Pension Plan</w:t>
      </w:r>
      <w:r w:rsidRPr="00B752DC">
        <w:t xml:space="preserve"> (“the </w:t>
      </w:r>
      <w:r>
        <w:t>Plan</w:t>
      </w:r>
      <w:r w:rsidRPr="00B752DC">
        <w:t>”) and sets out:</w:t>
      </w:r>
      <w:r w:rsidR="00530894" w:rsidRPr="00395206">
        <w:t xml:space="preserve"> </w:t>
      </w:r>
    </w:p>
    <w:p w14:paraId="78B947FB" w14:textId="443FB3AF" w:rsidR="00530894" w:rsidRDefault="00530894" w:rsidP="00530894">
      <w:pPr>
        <w:pStyle w:val="List"/>
      </w:pPr>
      <w:r>
        <w:t>How the Trustee</w:t>
      </w:r>
      <w:r w:rsidR="00637440">
        <w:t>’</w:t>
      </w:r>
      <w:r>
        <w:t xml:space="preserve">s policies on exercising rights (including voting rights) and engagement policies have been followed over the year to 31 March </w:t>
      </w:r>
      <w:proofErr w:type="gramStart"/>
      <w:r>
        <w:t>202</w:t>
      </w:r>
      <w:r w:rsidR="00913716">
        <w:t>2</w:t>
      </w:r>
      <w:r>
        <w:t>;</w:t>
      </w:r>
      <w:proofErr w:type="gramEnd"/>
      <w:r>
        <w:t xml:space="preserve"> and</w:t>
      </w:r>
    </w:p>
    <w:p w14:paraId="770B6263" w14:textId="4101E4AB" w:rsidR="00530894" w:rsidRDefault="00530894" w:rsidP="0036432C">
      <w:pPr>
        <w:pStyle w:val="List"/>
        <w:spacing w:after="0"/>
      </w:pPr>
      <w:r>
        <w:t>The voting behaviour of the Trustee</w:t>
      </w:r>
      <w:r w:rsidR="00637440">
        <w:t>’</w:t>
      </w:r>
      <w:r>
        <w:t>s</w:t>
      </w:r>
      <w:r w:rsidR="00637440">
        <w:t>,</w:t>
      </w:r>
      <w:r>
        <w:t xml:space="preserve"> or that undertaken on their behalf, over the year to 31 March 202</w:t>
      </w:r>
      <w:r w:rsidR="00913716">
        <w:t>2</w:t>
      </w:r>
      <w:r>
        <w:t>.</w:t>
      </w:r>
    </w:p>
    <w:p w14:paraId="68E0994A" w14:textId="77777777" w:rsidR="00482AB1" w:rsidRDefault="00482AB1" w:rsidP="0036432C">
      <w:pPr>
        <w:pStyle w:val="Heading2"/>
        <w:spacing w:before="120" w:after="0"/>
      </w:pPr>
      <w:r>
        <w:t>Stewardship policy</w:t>
      </w:r>
    </w:p>
    <w:p w14:paraId="0B659589" w14:textId="77777777" w:rsidR="00482AB1" w:rsidRDefault="00482AB1" w:rsidP="00482AB1">
      <w:pPr>
        <w:pStyle w:val="BodyText"/>
      </w:pPr>
      <w:r w:rsidRPr="00E36104">
        <w:t>The Trustee</w:t>
      </w:r>
      <w:r>
        <w:t>’</w:t>
      </w:r>
      <w:r w:rsidRPr="00E36104">
        <w:t xml:space="preserve">s Statement of Investment Principles (SIP) in force </w:t>
      </w:r>
      <w:proofErr w:type="gramStart"/>
      <w:r w:rsidRPr="00E36104">
        <w:t>at</w:t>
      </w:r>
      <w:proofErr w:type="gramEnd"/>
      <w:r w:rsidRPr="00E36104">
        <w:t xml:space="preserve"> </w:t>
      </w:r>
      <w:r>
        <w:t xml:space="preserve">31 March </w:t>
      </w:r>
      <w:r w:rsidRPr="00DA2ADE">
        <w:t>2022 describes the Trustee’s stewardship policy on the exercise of rights (including voting rights) and engagement activities.</w:t>
      </w:r>
      <w:r w:rsidRPr="00E36104">
        <w:t xml:space="preserve"> It was last reviewed in </w:t>
      </w:r>
      <w:r w:rsidRPr="00C86D7D">
        <w:t>September 2020</w:t>
      </w:r>
      <w:r w:rsidRPr="00E36104">
        <w:t xml:space="preserve"> and has been made available online here:</w:t>
      </w:r>
    </w:p>
    <w:p w14:paraId="53266097" w14:textId="77777777" w:rsidR="00482AB1" w:rsidRPr="00AC7B2F" w:rsidRDefault="00482AB1" w:rsidP="00482AB1">
      <w:pPr>
        <w:pStyle w:val="BodyText"/>
      </w:pPr>
      <w:hyperlink r:id="rId9" w:history="1">
        <w:r w:rsidRPr="00C86D7D">
          <w:rPr>
            <w:rStyle w:val="Hyperlink"/>
            <w:sz w:val="21"/>
            <w:szCs w:val="21"/>
          </w:rPr>
          <w:t>Home-Grown Cereal’s Authority Pension Plan – Statement of Investment Principles</w:t>
        </w:r>
      </w:hyperlink>
    </w:p>
    <w:p w14:paraId="02546710" w14:textId="77777777" w:rsidR="00482AB1" w:rsidRDefault="00482AB1" w:rsidP="00482AB1">
      <w:pPr>
        <w:pStyle w:val="BodyText"/>
      </w:pPr>
      <w:r>
        <w:t>There were no changes to the stewardship policy over the year and t</w:t>
      </w:r>
      <w:r w:rsidRPr="00C33574">
        <w:t xml:space="preserve">he Trustees </w:t>
      </w:r>
      <w:r>
        <w:t>continue to delegate</w:t>
      </w:r>
      <w:r w:rsidRPr="00C33574">
        <w:t xml:space="preserve"> the exercise of rights attaching to investments, including voting rights, and in undertaking engagement activities to the Scheme’s investment man</w:t>
      </w:r>
      <w:r>
        <w:t>a</w:t>
      </w:r>
      <w:r w:rsidRPr="00C33574">
        <w:t>gers.</w:t>
      </w:r>
    </w:p>
    <w:p w14:paraId="404994D5" w14:textId="77777777" w:rsidR="00F05FAB" w:rsidRDefault="006520A2" w:rsidP="0036432C">
      <w:pPr>
        <w:pStyle w:val="Heading2"/>
        <w:spacing w:before="120" w:after="0"/>
      </w:pPr>
      <w:r>
        <w:t>How voting and engagement policies have been followed</w:t>
      </w:r>
    </w:p>
    <w:p w14:paraId="544D214C" w14:textId="1D6B9C92" w:rsidR="006520A2" w:rsidRDefault="006520A2" w:rsidP="006520A2">
      <w:pPr>
        <w:pStyle w:val="BodyText"/>
      </w:pPr>
      <w:r w:rsidRPr="006520A2">
        <w:t>The</w:t>
      </w:r>
      <w:r w:rsidR="0037543C">
        <w:t xml:space="preserve"> </w:t>
      </w:r>
      <w:r w:rsidR="00B752DC">
        <w:t>Plan</w:t>
      </w:r>
      <w:r w:rsidRPr="006520A2">
        <w:t xml:space="preserve"> invests entirely in pooled funds, and as such delegates responsibility for carrying out voting and engagement activities to the </w:t>
      </w:r>
      <w:r w:rsidR="0037543C">
        <w:t>Plan</w:t>
      </w:r>
      <w:r w:rsidRPr="006520A2">
        <w:t xml:space="preserve">’s fund managers. </w:t>
      </w:r>
    </w:p>
    <w:p w14:paraId="65047814" w14:textId="6CA9B4C2" w:rsidR="002847E4" w:rsidRPr="006520A2" w:rsidRDefault="006520A2" w:rsidP="006520A2">
      <w:pPr>
        <w:pStyle w:val="BodyText"/>
      </w:pPr>
      <w:r w:rsidRPr="006520A2">
        <w:t xml:space="preserve">The Trustee undertook an initial review of the stewardship and engagement activities of the current managers at their </w:t>
      </w:r>
      <w:r w:rsidR="00530894" w:rsidRPr="00530894">
        <w:t>June 2019</w:t>
      </w:r>
      <w:r w:rsidRPr="00530894">
        <w:t xml:space="preserve"> </w:t>
      </w:r>
      <w:proofErr w:type="gramStart"/>
      <w:r w:rsidRPr="006520A2">
        <w:t>meeting, and</w:t>
      </w:r>
      <w:proofErr w:type="gramEnd"/>
      <w:r w:rsidRPr="006520A2">
        <w:t xml:space="preserve"> were satisfied that their policies were reasonable and no remedial action was required at that time. </w:t>
      </w:r>
      <w:r w:rsidR="002847E4" w:rsidRPr="002847E4">
        <w:rPr>
          <w:bCs/>
        </w:rPr>
        <w:t xml:space="preserve">The investment managers are invited to Trustee meetings to provide updates on the funds invested in by the </w:t>
      </w:r>
      <w:r w:rsidR="005A697E">
        <w:rPr>
          <w:bCs/>
        </w:rPr>
        <w:t xml:space="preserve">Plan </w:t>
      </w:r>
      <w:r w:rsidR="00561604">
        <w:rPr>
          <w:bCs/>
        </w:rPr>
        <w:t>periodically</w:t>
      </w:r>
      <w:r w:rsidR="002847E4" w:rsidRPr="002847E4">
        <w:rPr>
          <w:bCs/>
        </w:rPr>
        <w:t>,</w:t>
      </w:r>
      <w:r w:rsidR="005A697E">
        <w:rPr>
          <w:bCs/>
        </w:rPr>
        <w:t xml:space="preserve"> and</w:t>
      </w:r>
      <w:r w:rsidR="002847E4" w:rsidRPr="002847E4">
        <w:rPr>
          <w:bCs/>
        </w:rPr>
        <w:t xml:space="preserve"> this includes bringing the Trustees </w:t>
      </w:r>
      <w:proofErr w:type="gramStart"/>
      <w:r w:rsidR="002847E4" w:rsidRPr="002847E4">
        <w:rPr>
          <w:bCs/>
        </w:rPr>
        <w:t>up-to-date</w:t>
      </w:r>
      <w:proofErr w:type="gramEnd"/>
      <w:r w:rsidR="002847E4" w:rsidRPr="002847E4">
        <w:rPr>
          <w:bCs/>
        </w:rPr>
        <w:t xml:space="preserve"> on </w:t>
      </w:r>
      <w:r w:rsidR="002847E4">
        <w:rPr>
          <w:bCs/>
        </w:rPr>
        <w:t>their</w:t>
      </w:r>
      <w:r w:rsidR="002847E4" w:rsidRPr="002847E4">
        <w:rPr>
          <w:bCs/>
        </w:rPr>
        <w:t xml:space="preserve"> voting and engagement activities.</w:t>
      </w:r>
      <w:r w:rsidR="00482AB1">
        <w:rPr>
          <w:bCs/>
        </w:rPr>
        <w:t xml:space="preserve"> </w:t>
      </w:r>
      <w:r w:rsidR="00482AB1" w:rsidRPr="00482AB1">
        <w:rPr>
          <w:bCs/>
        </w:rPr>
        <w:t xml:space="preserve">In </w:t>
      </w:r>
      <w:proofErr w:type="gramStart"/>
      <w:r w:rsidR="00482AB1" w:rsidRPr="00482AB1">
        <w:rPr>
          <w:bCs/>
        </w:rPr>
        <w:t>addition</w:t>
      </w:r>
      <w:proofErr w:type="gramEnd"/>
      <w:r w:rsidR="00482AB1" w:rsidRPr="00482AB1">
        <w:rPr>
          <w:bCs/>
        </w:rPr>
        <w:t xml:space="preserve"> the Trustees receive quarterly reporting covering investment performance (net of fees and costs) and highlighting any other governance issues with managers.  </w:t>
      </w:r>
    </w:p>
    <w:p w14:paraId="18024377" w14:textId="77777777" w:rsidR="00B752DC" w:rsidRDefault="00B752DC" w:rsidP="006520A2">
      <w:pPr>
        <w:pStyle w:val="BodyText"/>
      </w:pPr>
      <w:r w:rsidRPr="00B752DC">
        <w:t xml:space="preserve">Annually, the Trustees receive and review voting information and engagement policies from both the asset managers and their investment advisors, which they review to ensure alignment with their policies, alongside the preparation of the Implementation Statement. </w:t>
      </w:r>
    </w:p>
    <w:p w14:paraId="6B876D71" w14:textId="51E03BC5" w:rsidR="00482AB1" w:rsidRPr="006520A2" w:rsidRDefault="00482AB1" w:rsidP="006520A2">
      <w:pPr>
        <w:pStyle w:val="BodyText"/>
      </w:pPr>
      <w:r w:rsidRPr="00482AB1">
        <w:t>The Trustee has made no new manager appointments over the year and therefore ESG has not formed part of any new selection process.</w:t>
      </w:r>
    </w:p>
    <w:p w14:paraId="76170E53" w14:textId="77777777" w:rsidR="00906233" w:rsidRDefault="006520A2" w:rsidP="00914BE9">
      <w:pPr>
        <w:pStyle w:val="BodyText"/>
        <w:spacing w:after="0"/>
      </w:pPr>
      <w:r w:rsidRPr="006520A2">
        <w:t xml:space="preserve">Having reviewed the above in accordance with </w:t>
      </w:r>
      <w:r w:rsidR="004C20B1">
        <w:t>their</w:t>
      </w:r>
      <w:r w:rsidRPr="006520A2">
        <w:t xml:space="preserve"> policies, the Trustee </w:t>
      </w:r>
      <w:r w:rsidR="00637440">
        <w:t>is</w:t>
      </w:r>
      <w:r w:rsidRPr="006520A2">
        <w:t xml:space="preserve"> comfortable the actions of the fund manager is in alignment with the</w:t>
      </w:r>
      <w:r w:rsidR="005A697E">
        <w:t xml:space="preserve"> Plan’s</w:t>
      </w:r>
      <w:r w:rsidRPr="006520A2">
        <w:t xml:space="preserve"> stewardship policies. </w:t>
      </w:r>
    </w:p>
    <w:p w14:paraId="6B832942" w14:textId="77777777" w:rsidR="00906233" w:rsidRDefault="00906233" w:rsidP="00914BE9">
      <w:pPr>
        <w:pStyle w:val="BodyText"/>
        <w:spacing w:after="0"/>
      </w:pPr>
    </w:p>
    <w:p w14:paraId="5FF29464" w14:textId="40327A1B" w:rsidR="00914BE9" w:rsidRPr="005C7F11" w:rsidRDefault="00914BE9" w:rsidP="00914BE9">
      <w:pPr>
        <w:pStyle w:val="BodyText"/>
        <w:spacing w:after="0"/>
        <w:rPr>
          <w:b/>
        </w:rPr>
      </w:pPr>
      <w:r w:rsidRPr="005C7F11">
        <w:rPr>
          <w:b/>
        </w:rPr>
        <w:t xml:space="preserve">Prepared by the </w:t>
      </w:r>
      <w:r w:rsidR="00C86D7D">
        <w:rPr>
          <w:b/>
        </w:rPr>
        <w:t xml:space="preserve">HGCA Pension Plan </w:t>
      </w:r>
      <w:r w:rsidRPr="005C7F11">
        <w:rPr>
          <w:b/>
        </w:rPr>
        <w:t>Trustees</w:t>
      </w:r>
      <w:r w:rsidR="00C86D7D">
        <w:rPr>
          <w:b/>
        </w:rPr>
        <w:t xml:space="preserve"> Limited</w:t>
      </w:r>
    </w:p>
    <w:p w14:paraId="5E73D0FC" w14:textId="6BE88928" w:rsidR="009D0539" w:rsidRDefault="00914BE9" w:rsidP="00906233">
      <w:pPr>
        <w:pStyle w:val="BodyText"/>
        <w:rPr>
          <w:rFonts w:ascii="Segoe UI Semibold" w:eastAsiaTheme="majorEastAsia" w:hAnsi="Segoe UI Semibold"/>
          <w:bCs/>
          <w:iCs/>
          <w:color w:val="009FE3"/>
          <w:sz w:val="28"/>
          <w:szCs w:val="28"/>
        </w:rPr>
      </w:pPr>
      <w:r>
        <w:rPr>
          <w:b/>
        </w:rPr>
        <w:t>June 2022</w:t>
      </w:r>
    </w:p>
    <w:p w14:paraId="1C254A8A" w14:textId="100D1FBF" w:rsidR="009D0539" w:rsidRDefault="009D0539" w:rsidP="009D0539">
      <w:pPr>
        <w:pStyle w:val="Heading2"/>
      </w:pPr>
      <w:r>
        <w:lastRenderedPageBreak/>
        <w:t xml:space="preserve">Voting Data </w:t>
      </w:r>
    </w:p>
    <w:p w14:paraId="66491056" w14:textId="0DEDD3FB" w:rsidR="0098615D" w:rsidRDefault="0098615D" w:rsidP="0098615D">
      <w:pPr>
        <w:pStyle w:val="BodyText"/>
      </w:pPr>
      <w:r>
        <w:t>Voting only applies to equities held in the portfolio. The Plan’s equity investments are held through</w:t>
      </w:r>
      <w:r w:rsidR="00561604">
        <w:t xml:space="preserve"> a</w:t>
      </w:r>
      <w:r>
        <w:t xml:space="preserve"> pooled fund managed by Columbia Threadneedle. The investment manager votes on behalf of the Trustee.</w:t>
      </w:r>
    </w:p>
    <w:p w14:paraId="628790FE" w14:textId="14F691B8" w:rsidR="0098615D" w:rsidRPr="0098615D" w:rsidRDefault="0098615D" w:rsidP="0098615D">
      <w:pPr>
        <w:pStyle w:val="BodyText"/>
      </w:pPr>
      <w:r>
        <w:t>The table below provides a summary of the voting activity undertaken by Columbia Threadneedle during the year.</w:t>
      </w:r>
    </w:p>
    <w:tbl>
      <w:tblPr>
        <w:tblStyle w:val="bwTable"/>
        <w:tblW w:w="7938" w:type="dxa"/>
        <w:tblInd w:w="973" w:type="dxa"/>
        <w:tblLook w:val="04A0" w:firstRow="1" w:lastRow="0" w:firstColumn="1" w:lastColumn="0" w:noHBand="0" w:noVBand="1"/>
      </w:tblPr>
      <w:tblGrid>
        <w:gridCol w:w="3969"/>
        <w:gridCol w:w="3969"/>
      </w:tblGrid>
      <w:tr w:rsidR="005211F5" w:rsidRPr="007F4127" w14:paraId="71EE1F46" w14:textId="77777777" w:rsidTr="0098615D">
        <w:trPr>
          <w:cnfStyle w:val="100000000000" w:firstRow="1" w:lastRow="0" w:firstColumn="0" w:lastColumn="0" w:oddVBand="0" w:evenVBand="0" w:oddHBand="0" w:evenHBand="0" w:firstRowFirstColumn="0" w:firstRowLastColumn="0" w:lastRowFirstColumn="0" w:lastRowLastColumn="0"/>
          <w:tblHeader/>
        </w:trPr>
        <w:tc>
          <w:tcPr>
            <w:tcW w:w="3969" w:type="dxa"/>
          </w:tcPr>
          <w:p w14:paraId="5DA94555" w14:textId="77777777" w:rsidR="00785EE3" w:rsidRPr="007F4127" w:rsidRDefault="00785EE3" w:rsidP="009D0539">
            <w:pPr>
              <w:pStyle w:val="BodyText"/>
              <w:spacing w:after="0"/>
              <w:jc w:val="left"/>
              <w:rPr>
                <w:b/>
                <w:sz w:val="16"/>
              </w:rPr>
            </w:pPr>
            <w:r w:rsidRPr="007F4127">
              <w:rPr>
                <w:b/>
                <w:sz w:val="16"/>
              </w:rPr>
              <w:t>Manager</w:t>
            </w:r>
          </w:p>
        </w:tc>
        <w:tc>
          <w:tcPr>
            <w:tcW w:w="3969" w:type="dxa"/>
          </w:tcPr>
          <w:p w14:paraId="41D5A65F" w14:textId="45516D30" w:rsidR="00785EE3" w:rsidRPr="007F4127" w:rsidRDefault="00785EE3">
            <w:pPr>
              <w:pStyle w:val="BodyText"/>
              <w:spacing w:after="0"/>
              <w:jc w:val="center"/>
              <w:rPr>
                <w:b/>
                <w:sz w:val="16"/>
              </w:rPr>
            </w:pPr>
            <w:r>
              <w:rPr>
                <w:b/>
                <w:sz w:val="16"/>
              </w:rPr>
              <w:t>Columbia Threadneedle</w:t>
            </w:r>
          </w:p>
        </w:tc>
      </w:tr>
      <w:tr w:rsidR="005211F5" w:rsidRPr="007F4127" w14:paraId="071C7B33" w14:textId="77777777" w:rsidTr="0098615D">
        <w:trPr>
          <w:cnfStyle w:val="000000100000" w:firstRow="0" w:lastRow="0" w:firstColumn="0" w:lastColumn="0" w:oddVBand="0" w:evenVBand="0" w:oddHBand="1" w:evenHBand="0" w:firstRowFirstColumn="0" w:firstRowLastColumn="0" w:lastRowFirstColumn="0" w:lastRowLastColumn="0"/>
        </w:trPr>
        <w:tc>
          <w:tcPr>
            <w:tcW w:w="3969" w:type="dxa"/>
          </w:tcPr>
          <w:p w14:paraId="5732A608" w14:textId="77777777" w:rsidR="00785EE3" w:rsidRPr="007F4127" w:rsidRDefault="00785EE3" w:rsidP="009D0539">
            <w:pPr>
              <w:pStyle w:val="BodyText"/>
              <w:spacing w:after="0"/>
              <w:jc w:val="left"/>
              <w:rPr>
                <w:b/>
                <w:sz w:val="16"/>
              </w:rPr>
            </w:pPr>
            <w:r w:rsidRPr="007F4127">
              <w:rPr>
                <w:b/>
                <w:sz w:val="16"/>
              </w:rPr>
              <w:t>Fund name</w:t>
            </w:r>
          </w:p>
        </w:tc>
        <w:tc>
          <w:tcPr>
            <w:tcW w:w="3969" w:type="dxa"/>
          </w:tcPr>
          <w:p w14:paraId="4D18666F" w14:textId="46A0F5D9" w:rsidR="00785EE3" w:rsidRPr="007F4127" w:rsidRDefault="00785EE3" w:rsidP="005414B9">
            <w:pPr>
              <w:pStyle w:val="BodyText"/>
              <w:spacing w:after="0"/>
              <w:jc w:val="center"/>
              <w:rPr>
                <w:sz w:val="16"/>
              </w:rPr>
            </w:pPr>
            <w:r>
              <w:rPr>
                <w:sz w:val="16"/>
              </w:rPr>
              <w:t>Dynamic Real Return Fund</w:t>
            </w:r>
          </w:p>
        </w:tc>
      </w:tr>
      <w:tr w:rsidR="005211F5" w:rsidRPr="007F4127" w14:paraId="67760D48" w14:textId="77777777" w:rsidTr="0098615D">
        <w:trPr>
          <w:cnfStyle w:val="000000010000" w:firstRow="0" w:lastRow="0" w:firstColumn="0" w:lastColumn="0" w:oddVBand="0" w:evenVBand="0" w:oddHBand="0" w:evenHBand="1" w:firstRowFirstColumn="0" w:firstRowLastColumn="0" w:lastRowFirstColumn="0" w:lastRowLastColumn="0"/>
        </w:trPr>
        <w:tc>
          <w:tcPr>
            <w:tcW w:w="3969" w:type="dxa"/>
          </w:tcPr>
          <w:p w14:paraId="6AAF013B" w14:textId="77777777" w:rsidR="00785EE3" w:rsidRPr="007F4127" w:rsidRDefault="00785EE3" w:rsidP="009D0539">
            <w:pPr>
              <w:pStyle w:val="BodyText"/>
              <w:spacing w:after="0"/>
              <w:jc w:val="left"/>
              <w:rPr>
                <w:b/>
                <w:sz w:val="16"/>
              </w:rPr>
            </w:pPr>
            <w:r w:rsidRPr="007F4127">
              <w:rPr>
                <w:b/>
                <w:sz w:val="16"/>
              </w:rPr>
              <w:t>Structure</w:t>
            </w:r>
          </w:p>
        </w:tc>
        <w:tc>
          <w:tcPr>
            <w:tcW w:w="3969" w:type="dxa"/>
          </w:tcPr>
          <w:p w14:paraId="56CF2CFE" w14:textId="4EC2A73C" w:rsidR="00785EE3" w:rsidRPr="007F4127" w:rsidRDefault="00785EE3" w:rsidP="005414B9">
            <w:pPr>
              <w:pStyle w:val="BodyText"/>
              <w:spacing w:after="0"/>
              <w:jc w:val="center"/>
              <w:rPr>
                <w:sz w:val="16"/>
              </w:rPr>
            </w:pPr>
            <w:r>
              <w:rPr>
                <w:sz w:val="16"/>
              </w:rPr>
              <w:t>Pooled</w:t>
            </w:r>
          </w:p>
        </w:tc>
      </w:tr>
      <w:tr w:rsidR="005211F5" w:rsidRPr="007F4127" w14:paraId="4415843F" w14:textId="77777777" w:rsidTr="0098615D">
        <w:trPr>
          <w:cnfStyle w:val="000000100000" w:firstRow="0" w:lastRow="0" w:firstColumn="0" w:lastColumn="0" w:oddVBand="0" w:evenVBand="0" w:oddHBand="1" w:evenHBand="0" w:firstRowFirstColumn="0" w:firstRowLastColumn="0" w:lastRowFirstColumn="0" w:lastRowLastColumn="0"/>
        </w:trPr>
        <w:tc>
          <w:tcPr>
            <w:tcW w:w="3969" w:type="dxa"/>
          </w:tcPr>
          <w:p w14:paraId="36E87B31" w14:textId="77777777" w:rsidR="00785EE3" w:rsidRPr="007F4127" w:rsidRDefault="00785EE3" w:rsidP="009D0539">
            <w:pPr>
              <w:pStyle w:val="BodyText"/>
              <w:spacing w:after="0"/>
              <w:jc w:val="left"/>
              <w:rPr>
                <w:b/>
                <w:sz w:val="16"/>
              </w:rPr>
            </w:pPr>
            <w:r w:rsidRPr="007F4127">
              <w:rPr>
                <w:b/>
                <w:sz w:val="16"/>
              </w:rPr>
              <w:t xml:space="preserve">Ability to influence voting behaviour of manager </w:t>
            </w:r>
          </w:p>
        </w:tc>
        <w:tc>
          <w:tcPr>
            <w:tcW w:w="3969" w:type="dxa"/>
          </w:tcPr>
          <w:p w14:paraId="0FCAE032" w14:textId="27EA32C6" w:rsidR="00785EE3" w:rsidRPr="007F4127" w:rsidRDefault="005211F5" w:rsidP="00637440">
            <w:pPr>
              <w:pStyle w:val="BodyText"/>
              <w:spacing w:after="0"/>
              <w:jc w:val="center"/>
              <w:rPr>
                <w:sz w:val="16"/>
              </w:rPr>
            </w:pPr>
            <w:r w:rsidRPr="005211F5">
              <w:rPr>
                <w:sz w:val="16"/>
              </w:rPr>
              <w:t>The pooled fund structure means that there is limited scope for the Trustee to influence the manager’s voting behaviour.</w:t>
            </w:r>
          </w:p>
        </w:tc>
      </w:tr>
      <w:tr w:rsidR="005211F5" w:rsidRPr="007F4127" w14:paraId="1098BB24" w14:textId="77777777" w:rsidTr="0098615D">
        <w:trPr>
          <w:cnfStyle w:val="000000010000" w:firstRow="0" w:lastRow="0" w:firstColumn="0" w:lastColumn="0" w:oddVBand="0" w:evenVBand="0" w:oddHBand="0" w:evenHBand="1" w:firstRowFirstColumn="0" w:firstRowLastColumn="0" w:lastRowFirstColumn="0" w:lastRowLastColumn="0"/>
        </w:trPr>
        <w:tc>
          <w:tcPr>
            <w:tcW w:w="3969" w:type="dxa"/>
          </w:tcPr>
          <w:p w14:paraId="138655BF" w14:textId="0B6AEBDA" w:rsidR="00785EE3" w:rsidRPr="007F4127" w:rsidDel="001D606F" w:rsidRDefault="004D69BA" w:rsidP="001919F9">
            <w:pPr>
              <w:pStyle w:val="BodyText"/>
              <w:spacing w:after="0"/>
              <w:jc w:val="left"/>
              <w:rPr>
                <w:b/>
                <w:sz w:val="16"/>
              </w:rPr>
            </w:pPr>
            <w:r>
              <w:rPr>
                <w:b/>
                <w:sz w:val="16"/>
              </w:rPr>
              <w:t xml:space="preserve">No.  of </w:t>
            </w:r>
            <w:r w:rsidRPr="001D606F">
              <w:rPr>
                <w:b/>
                <w:sz w:val="16"/>
              </w:rPr>
              <w:t xml:space="preserve">eligible </w:t>
            </w:r>
            <w:r>
              <w:rPr>
                <w:b/>
                <w:sz w:val="16"/>
              </w:rPr>
              <w:t>meetings</w:t>
            </w:r>
          </w:p>
        </w:tc>
        <w:tc>
          <w:tcPr>
            <w:tcW w:w="3969" w:type="dxa"/>
          </w:tcPr>
          <w:p w14:paraId="23944B64" w14:textId="4B8194C5" w:rsidR="00785EE3" w:rsidRPr="0098615D" w:rsidDel="001D606F" w:rsidRDefault="00913716" w:rsidP="007706BD">
            <w:pPr>
              <w:pStyle w:val="BodyText"/>
              <w:spacing w:after="0"/>
              <w:jc w:val="center"/>
              <w:rPr>
                <w:sz w:val="16"/>
              </w:rPr>
            </w:pPr>
            <w:r>
              <w:rPr>
                <w:sz w:val="16"/>
              </w:rPr>
              <w:t>389</w:t>
            </w:r>
          </w:p>
        </w:tc>
      </w:tr>
      <w:tr w:rsidR="005211F5" w:rsidRPr="007F4127" w14:paraId="35222E6E" w14:textId="77777777" w:rsidTr="0098615D">
        <w:trPr>
          <w:cnfStyle w:val="000000100000" w:firstRow="0" w:lastRow="0" w:firstColumn="0" w:lastColumn="0" w:oddVBand="0" w:evenVBand="0" w:oddHBand="1" w:evenHBand="0" w:firstRowFirstColumn="0" w:firstRowLastColumn="0" w:lastRowFirstColumn="0" w:lastRowLastColumn="0"/>
        </w:trPr>
        <w:tc>
          <w:tcPr>
            <w:tcW w:w="3969" w:type="dxa"/>
          </w:tcPr>
          <w:p w14:paraId="67096052" w14:textId="0F3960E8" w:rsidR="00785EE3" w:rsidRPr="007F4127" w:rsidDel="001D606F" w:rsidRDefault="004D69BA" w:rsidP="001919F9">
            <w:pPr>
              <w:pStyle w:val="BodyText"/>
              <w:spacing w:after="0"/>
              <w:jc w:val="left"/>
              <w:rPr>
                <w:b/>
                <w:sz w:val="16"/>
              </w:rPr>
            </w:pPr>
            <w:r>
              <w:rPr>
                <w:b/>
                <w:sz w:val="16"/>
              </w:rPr>
              <w:t>No. of</w:t>
            </w:r>
            <w:r w:rsidRPr="001D606F">
              <w:rPr>
                <w:b/>
                <w:sz w:val="16"/>
              </w:rPr>
              <w:t xml:space="preserve"> el</w:t>
            </w:r>
            <w:r>
              <w:rPr>
                <w:b/>
                <w:sz w:val="16"/>
              </w:rPr>
              <w:t>igible votes</w:t>
            </w:r>
          </w:p>
        </w:tc>
        <w:tc>
          <w:tcPr>
            <w:tcW w:w="3969" w:type="dxa"/>
          </w:tcPr>
          <w:p w14:paraId="6DC11C80" w14:textId="3D1EA248" w:rsidR="00785EE3" w:rsidRPr="0098615D" w:rsidDel="001D606F" w:rsidRDefault="00C47212" w:rsidP="007706BD">
            <w:pPr>
              <w:pStyle w:val="BodyText"/>
              <w:spacing w:after="0"/>
              <w:jc w:val="center"/>
              <w:rPr>
                <w:sz w:val="16"/>
              </w:rPr>
            </w:pPr>
            <w:r>
              <w:rPr>
                <w:sz w:val="16"/>
              </w:rPr>
              <w:t>4,</w:t>
            </w:r>
            <w:r w:rsidR="00913716">
              <w:rPr>
                <w:sz w:val="16"/>
              </w:rPr>
              <w:t>939</w:t>
            </w:r>
          </w:p>
        </w:tc>
      </w:tr>
      <w:tr w:rsidR="005211F5" w:rsidRPr="007F4127" w14:paraId="3BE18C42" w14:textId="77777777" w:rsidTr="0098615D">
        <w:trPr>
          <w:cnfStyle w:val="000000010000" w:firstRow="0" w:lastRow="0" w:firstColumn="0" w:lastColumn="0" w:oddVBand="0" w:evenVBand="0" w:oddHBand="0" w:evenHBand="1" w:firstRowFirstColumn="0" w:firstRowLastColumn="0" w:lastRowFirstColumn="0" w:lastRowLastColumn="0"/>
        </w:trPr>
        <w:tc>
          <w:tcPr>
            <w:tcW w:w="3969" w:type="dxa"/>
          </w:tcPr>
          <w:p w14:paraId="1DA2B4F3" w14:textId="62E339EB" w:rsidR="00785EE3" w:rsidRPr="007F4127" w:rsidRDefault="004D69BA" w:rsidP="001919F9">
            <w:pPr>
              <w:pStyle w:val="BodyText"/>
              <w:spacing w:after="0"/>
              <w:jc w:val="left"/>
              <w:rPr>
                <w:b/>
                <w:sz w:val="16"/>
              </w:rPr>
            </w:pPr>
            <w:r>
              <w:rPr>
                <w:b/>
                <w:sz w:val="16"/>
              </w:rPr>
              <w:t xml:space="preserve">% </w:t>
            </w:r>
            <w:proofErr w:type="gramStart"/>
            <w:r>
              <w:rPr>
                <w:b/>
                <w:sz w:val="16"/>
              </w:rPr>
              <w:t>of</w:t>
            </w:r>
            <w:proofErr w:type="gramEnd"/>
            <w:r>
              <w:rPr>
                <w:b/>
                <w:sz w:val="16"/>
              </w:rPr>
              <w:t xml:space="preserve"> resolutions voted</w:t>
            </w:r>
          </w:p>
        </w:tc>
        <w:tc>
          <w:tcPr>
            <w:tcW w:w="3969" w:type="dxa"/>
          </w:tcPr>
          <w:p w14:paraId="06049C5B" w14:textId="334EC85A" w:rsidR="00785EE3" w:rsidRPr="00C47212" w:rsidRDefault="003C1958" w:rsidP="007706BD">
            <w:pPr>
              <w:pStyle w:val="BodyText"/>
              <w:spacing w:after="0"/>
              <w:jc w:val="center"/>
              <w:rPr>
                <w:sz w:val="16"/>
              </w:rPr>
            </w:pPr>
            <w:r>
              <w:rPr>
                <w:sz w:val="16"/>
              </w:rPr>
              <w:t>100</w:t>
            </w:r>
            <w:r w:rsidR="00BA5573">
              <w:rPr>
                <w:sz w:val="16"/>
              </w:rPr>
              <w:t>.0</w:t>
            </w:r>
            <w:r w:rsidR="00E61DCE">
              <w:rPr>
                <w:sz w:val="16"/>
              </w:rPr>
              <w:t>%</w:t>
            </w:r>
          </w:p>
        </w:tc>
      </w:tr>
      <w:tr w:rsidR="00BA5573" w:rsidRPr="007F4127" w14:paraId="2CECF97A" w14:textId="77777777" w:rsidTr="0098615D">
        <w:trPr>
          <w:cnfStyle w:val="000000100000" w:firstRow="0" w:lastRow="0" w:firstColumn="0" w:lastColumn="0" w:oddVBand="0" w:evenVBand="0" w:oddHBand="1" w:evenHBand="0" w:firstRowFirstColumn="0" w:firstRowLastColumn="0" w:lastRowFirstColumn="0" w:lastRowLastColumn="0"/>
        </w:trPr>
        <w:tc>
          <w:tcPr>
            <w:tcW w:w="3969" w:type="dxa"/>
          </w:tcPr>
          <w:p w14:paraId="05285BC4" w14:textId="31AFCC6E" w:rsidR="00BA5573" w:rsidDel="001D606F" w:rsidRDefault="00BA5573" w:rsidP="00BA5573">
            <w:pPr>
              <w:pStyle w:val="BodyText"/>
              <w:spacing w:after="0"/>
              <w:jc w:val="left"/>
              <w:rPr>
                <w:b/>
                <w:sz w:val="16"/>
              </w:rPr>
            </w:pPr>
            <w:r>
              <w:rPr>
                <w:b/>
                <w:sz w:val="16"/>
              </w:rPr>
              <w:t xml:space="preserve">% </w:t>
            </w:r>
            <w:proofErr w:type="gramStart"/>
            <w:r>
              <w:rPr>
                <w:b/>
                <w:sz w:val="16"/>
              </w:rPr>
              <w:t>of</w:t>
            </w:r>
            <w:proofErr w:type="gramEnd"/>
            <w:r>
              <w:rPr>
                <w:b/>
                <w:sz w:val="16"/>
              </w:rPr>
              <w:t xml:space="preserve"> resolutions voted </w:t>
            </w:r>
            <w:r w:rsidRPr="001919F9">
              <w:rPr>
                <w:b/>
                <w:i/>
                <w:sz w:val="16"/>
              </w:rPr>
              <w:t>with</w:t>
            </w:r>
            <w:r>
              <w:rPr>
                <w:b/>
                <w:sz w:val="16"/>
              </w:rPr>
              <w:t xml:space="preserve"> management</w:t>
            </w:r>
            <w:r>
              <w:rPr>
                <w:b/>
                <w:sz w:val="16"/>
                <w:vertAlign w:val="superscript"/>
              </w:rPr>
              <w:t>1</w:t>
            </w:r>
          </w:p>
        </w:tc>
        <w:tc>
          <w:tcPr>
            <w:tcW w:w="3969" w:type="dxa"/>
          </w:tcPr>
          <w:p w14:paraId="78552DD0" w14:textId="253E4734" w:rsidR="00BA5573" w:rsidRPr="0098615D" w:rsidDel="001D606F" w:rsidRDefault="00BA5573" w:rsidP="00BA5573">
            <w:pPr>
              <w:pStyle w:val="BodyText"/>
              <w:spacing w:after="0"/>
              <w:jc w:val="center"/>
              <w:rPr>
                <w:sz w:val="16"/>
              </w:rPr>
            </w:pPr>
            <w:r>
              <w:rPr>
                <w:sz w:val="16"/>
              </w:rPr>
              <w:t>93.0%</w:t>
            </w:r>
          </w:p>
        </w:tc>
      </w:tr>
      <w:tr w:rsidR="00BA5573" w:rsidRPr="007F4127" w14:paraId="773B6797" w14:textId="77777777" w:rsidTr="0098615D">
        <w:trPr>
          <w:cnfStyle w:val="000000010000" w:firstRow="0" w:lastRow="0" w:firstColumn="0" w:lastColumn="0" w:oddVBand="0" w:evenVBand="0" w:oddHBand="0" w:evenHBand="1" w:firstRowFirstColumn="0" w:firstRowLastColumn="0" w:lastRowFirstColumn="0" w:lastRowLastColumn="0"/>
        </w:trPr>
        <w:tc>
          <w:tcPr>
            <w:tcW w:w="3969" w:type="dxa"/>
          </w:tcPr>
          <w:p w14:paraId="551B1F20" w14:textId="6FD3D70C" w:rsidR="00BA5573" w:rsidRPr="007F4127" w:rsidRDefault="00BA5573" w:rsidP="00BA5573">
            <w:pPr>
              <w:pStyle w:val="BodyText"/>
              <w:spacing w:after="0"/>
              <w:jc w:val="left"/>
              <w:rPr>
                <w:b/>
                <w:sz w:val="16"/>
              </w:rPr>
            </w:pPr>
            <w:r>
              <w:rPr>
                <w:b/>
                <w:sz w:val="16"/>
              </w:rPr>
              <w:t xml:space="preserve">% </w:t>
            </w:r>
            <w:proofErr w:type="gramStart"/>
            <w:r>
              <w:rPr>
                <w:b/>
                <w:sz w:val="16"/>
              </w:rPr>
              <w:t>of</w:t>
            </w:r>
            <w:proofErr w:type="gramEnd"/>
            <w:r>
              <w:rPr>
                <w:b/>
                <w:sz w:val="16"/>
              </w:rPr>
              <w:t xml:space="preserve"> resolutions voted </w:t>
            </w:r>
            <w:r w:rsidRPr="001919F9">
              <w:rPr>
                <w:b/>
                <w:i/>
                <w:sz w:val="16"/>
              </w:rPr>
              <w:t>against</w:t>
            </w:r>
            <w:r>
              <w:rPr>
                <w:b/>
                <w:sz w:val="16"/>
              </w:rPr>
              <w:t xml:space="preserve"> management</w:t>
            </w:r>
            <w:r>
              <w:rPr>
                <w:b/>
                <w:sz w:val="16"/>
                <w:vertAlign w:val="superscript"/>
              </w:rPr>
              <w:t>1</w:t>
            </w:r>
          </w:p>
        </w:tc>
        <w:tc>
          <w:tcPr>
            <w:tcW w:w="3969" w:type="dxa"/>
          </w:tcPr>
          <w:p w14:paraId="0C85FAAD" w14:textId="24001297" w:rsidR="00BA5573" w:rsidRPr="00C47212" w:rsidRDefault="00BA5573" w:rsidP="00BA5573">
            <w:pPr>
              <w:pStyle w:val="BodyText"/>
              <w:spacing w:after="0"/>
              <w:jc w:val="center"/>
              <w:rPr>
                <w:sz w:val="16"/>
              </w:rPr>
            </w:pPr>
            <w:r>
              <w:rPr>
                <w:sz w:val="16"/>
              </w:rPr>
              <w:t>5.4%</w:t>
            </w:r>
          </w:p>
        </w:tc>
      </w:tr>
      <w:tr w:rsidR="00E61DCE" w:rsidRPr="007F4127" w14:paraId="05B08576" w14:textId="77777777" w:rsidTr="0098615D">
        <w:trPr>
          <w:cnfStyle w:val="000000100000" w:firstRow="0" w:lastRow="0" w:firstColumn="0" w:lastColumn="0" w:oddVBand="0" w:evenVBand="0" w:oddHBand="1" w:evenHBand="0" w:firstRowFirstColumn="0" w:firstRowLastColumn="0" w:lastRowFirstColumn="0" w:lastRowLastColumn="0"/>
        </w:trPr>
        <w:tc>
          <w:tcPr>
            <w:tcW w:w="3969" w:type="dxa"/>
          </w:tcPr>
          <w:p w14:paraId="0BC425B4" w14:textId="20D11ABD" w:rsidR="00E61DCE" w:rsidRDefault="00BA5573" w:rsidP="00E61DCE">
            <w:pPr>
              <w:pStyle w:val="BodyText"/>
              <w:spacing w:after="0"/>
              <w:jc w:val="left"/>
              <w:rPr>
                <w:b/>
                <w:sz w:val="16"/>
              </w:rPr>
            </w:pPr>
            <w:r>
              <w:rPr>
                <w:b/>
                <w:sz w:val="16"/>
              </w:rPr>
              <w:t xml:space="preserve">% </w:t>
            </w:r>
            <w:proofErr w:type="gramStart"/>
            <w:r>
              <w:rPr>
                <w:b/>
                <w:sz w:val="16"/>
              </w:rPr>
              <w:t>of</w:t>
            </w:r>
            <w:proofErr w:type="gramEnd"/>
            <w:r>
              <w:rPr>
                <w:b/>
                <w:sz w:val="16"/>
              </w:rPr>
              <w:t xml:space="preserve"> resolutions abstained</w:t>
            </w:r>
          </w:p>
        </w:tc>
        <w:tc>
          <w:tcPr>
            <w:tcW w:w="3969" w:type="dxa"/>
          </w:tcPr>
          <w:p w14:paraId="7EE72CD9" w14:textId="25DE12A1" w:rsidR="00E61DCE" w:rsidRDefault="00BA5573" w:rsidP="00E61DCE">
            <w:pPr>
              <w:pStyle w:val="BodyText"/>
              <w:spacing w:after="0"/>
              <w:jc w:val="center"/>
              <w:rPr>
                <w:sz w:val="16"/>
              </w:rPr>
            </w:pPr>
            <w:r>
              <w:rPr>
                <w:sz w:val="16"/>
              </w:rPr>
              <w:t>1.6</w:t>
            </w:r>
            <w:r w:rsidR="00E61DCE">
              <w:rPr>
                <w:sz w:val="16"/>
              </w:rPr>
              <w:t>%</w:t>
            </w:r>
          </w:p>
        </w:tc>
      </w:tr>
      <w:tr w:rsidR="00BA5573" w:rsidRPr="007F4127" w14:paraId="43E7669B" w14:textId="77777777" w:rsidTr="0098615D">
        <w:trPr>
          <w:cnfStyle w:val="000000010000" w:firstRow="0" w:lastRow="0" w:firstColumn="0" w:lastColumn="0" w:oddVBand="0" w:evenVBand="0" w:oddHBand="0" w:evenHBand="1" w:firstRowFirstColumn="0" w:firstRowLastColumn="0" w:lastRowFirstColumn="0" w:lastRowLastColumn="0"/>
        </w:trPr>
        <w:tc>
          <w:tcPr>
            <w:tcW w:w="3969" w:type="dxa"/>
          </w:tcPr>
          <w:p w14:paraId="0C2D90EC" w14:textId="4602F60C" w:rsidR="00BA5573" w:rsidRDefault="00BA5573" w:rsidP="001919F9">
            <w:pPr>
              <w:pStyle w:val="BodyText"/>
              <w:spacing w:after="0"/>
              <w:jc w:val="left"/>
              <w:rPr>
                <w:b/>
                <w:sz w:val="16"/>
              </w:rPr>
            </w:pPr>
            <w:r>
              <w:rPr>
                <w:b/>
                <w:sz w:val="16"/>
              </w:rPr>
              <w:t>Proxy voting advisor employed</w:t>
            </w:r>
          </w:p>
        </w:tc>
        <w:tc>
          <w:tcPr>
            <w:tcW w:w="3969" w:type="dxa"/>
          </w:tcPr>
          <w:p w14:paraId="4B1D7391" w14:textId="643694F2" w:rsidR="00BA5573" w:rsidRDefault="00BA5573" w:rsidP="007706BD">
            <w:pPr>
              <w:pStyle w:val="BodyText"/>
              <w:spacing w:after="0"/>
              <w:jc w:val="center"/>
              <w:rPr>
                <w:sz w:val="16"/>
              </w:rPr>
            </w:pPr>
            <w:r>
              <w:rPr>
                <w:sz w:val="16"/>
              </w:rPr>
              <w:t>Yes</w:t>
            </w:r>
          </w:p>
        </w:tc>
      </w:tr>
      <w:tr w:rsidR="005211F5" w:rsidRPr="007F4127" w14:paraId="5D35F2F1" w14:textId="77777777" w:rsidTr="0098615D">
        <w:trPr>
          <w:cnfStyle w:val="000000100000" w:firstRow="0" w:lastRow="0" w:firstColumn="0" w:lastColumn="0" w:oddVBand="0" w:evenVBand="0" w:oddHBand="1" w:evenHBand="0" w:firstRowFirstColumn="0" w:firstRowLastColumn="0" w:lastRowFirstColumn="0" w:lastRowLastColumn="0"/>
        </w:trPr>
        <w:tc>
          <w:tcPr>
            <w:tcW w:w="3969" w:type="dxa"/>
          </w:tcPr>
          <w:p w14:paraId="3D01F150" w14:textId="0DCEF714" w:rsidR="00785EE3" w:rsidRPr="007F4127" w:rsidRDefault="00BA5573" w:rsidP="001919F9">
            <w:pPr>
              <w:pStyle w:val="BodyText"/>
              <w:spacing w:after="0"/>
              <w:jc w:val="left"/>
              <w:rPr>
                <w:b/>
                <w:sz w:val="16"/>
              </w:rPr>
            </w:pPr>
            <w:r>
              <w:rPr>
                <w:b/>
                <w:sz w:val="16"/>
              </w:rPr>
              <w:t xml:space="preserve">% </w:t>
            </w:r>
            <w:proofErr w:type="gramStart"/>
            <w:r>
              <w:rPr>
                <w:b/>
                <w:sz w:val="16"/>
              </w:rPr>
              <w:t>of</w:t>
            </w:r>
            <w:proofErr w:type="gramEnd"/>
            <w:r>
              <w:rPr>
                <w:b/>
                <w:sz w:val="16"/>
              </w:rPr>
              <w:t xml:space="preserve"> resolutions voted against proxy voter recommendation</w:t>
            </w:r>
          </w:p>
        </w:tc>
        <w:tc>
          <w:tcPr>
            <w:tcW w:w="3969" w:type="dxa"/>
          </w:tcPr>
          <w:p w14:paraId="0E93525F" w14:textId="60935A1A" w:rsidR="00785EE3" w:rsidRPr="00C47212" w:rsidRDefault="00C47212" w:rsidP="007706BD">
            <w:pPr>
              <w:pStyle w:val="BodyText"/>
              <w:spacing w:after="0"/>
              <w:jc w:val="center"/>
              <w:rPr>
                <w:sz w:val="16"/>
              </w:rPr>
            </w:pPr>
            <w:r>
              <w:rPr>
                <w:sz w:val="16"/>
              </w:rPr>
              <w:t>n/a</w:t>
            </w:r>
          </w:p>
        </w:tc>
      </w:tr>
    </w:tbl>
    <w:p w14:paraId="6AEEA608" w14:textId="77777777" w:rsidR="008919D3" w:rsidRDefault="008919D3" w:rsidP="00E61DCE">
      <w:pPr>
        <w:pStyle w:val="bwTableText"/>
        <w:sectPr w:rsidR="008919D3" w:rsidSect="00965216">
          <w:headerReference w:type="default" r:id="rId10"/>
          <w:footerReference w:type="default" r:id="rId11"/>
          <w:pgSz w:w="11906" w:h="16838"/>
          <w:pgMar w:top="2268" w:right="1020" w:bottom="1440" w:left="1020" w:header="708" w:footer="708" w:gutter="0"/>
          <w:cols w:space="708"/>
          <w:docGrid w:linePitch="360"/>
        </w:sectPr>
      </w:pPr>
    </w:p>
    <w:p w14:paraId="19229598" w14:textId="7E255093" w:rsidR="00E61DCE" w:rsidRDefault="00E61DCE" w:rsidP="00E61DCE">
      <w:pPr>
        <w:pStyle w:val="bwTableText"/>
      </w:pPr>
    </w:p>
    <w:p w14:paraId="56773388" w14:textId="4E10B689" w:rsidR="009D0539" w:rsidRDefault="00EC4E7F" w:rsidP="00A22873">
      <w:pPr>
        <w:pStyle w:val="Heading2"/>
      </w:pPr>
      <w:r>
        <w:t>Significant votes</w:t>
      </w:r>
    </w:p>
    <w:p w14:paraId="5EAA3579" w14:textId="013D8489" w:rsidR="00EC4E7F" w:rsidRDefault="00561604" w:rsidP="00EC4E7F">
      <w:pPr>
        <w:pStyle w:val="BodyText"/>
      </w:pPr>
      <w:r>
        <w:t>W</w:t>
      </w:r>
      <w:r w:rsidR="00EC4E7F" w:rsidRPr="00EC4E7F">
        <w:t xml:space="preserve">e have delegated to </w:t>
      </w:r>
      <w:r w:rsidR="007F4127">
        <w:t xml:space="preserve">the investment </w:t>
      </w:r>
      <w:r w:rsidR="00EC4E7F" w:rsidRPr="00EC4E7F">
        <w:t>manager</w:t>
      </w:r>
      <w:r w:rsidR="007F4127">
        <w:t>(</w:t>
      </w:r>
      <w:r w:rsidR="00EC4E7F" w:rsidRPr="00EC4E7F">
        <w:t>s</w:t>
      </w:r>
      <w:r w:rsidR="007F4127">
        <w:t>)</w:t>
      </w:r>
      <w:r w:rsidR="00EC4E7F" w:rsidRPr="00EC4E7F">
        <w:t xml:space="preserve"> to defin</w:t>
      </w:r>
      <w:r w:rsidR="007F4127">
        <w:t>e</w:t>
      </w:r>
      <w:r w:rsidR="00EC4E7F" w:rsidRPr="00EC4E7F">
        <w:t xml:space="preserve"> </w:t>
      </w:r>
      <w:r w:rsidR="007F4127">
        <w:t xml:space="preserve">what a “significant vote” is. A summary of the data they have provided is set out below. </w:t>
      </w:r>
    </w:p>
    <w:p w14:paraId="2AA303B7" w14:textId="7FC467AC" w:rsidR="007F4127" w:rsidRPr="00A22873" w:rsidRDefault="005211F5" w:rsidP="00A22873">
      <w:pPr>
        <w:pStyle w:val="Heading3"/>
      </w:pPr>
      <w:r w:rsidRPr="00A22873">
        <w:t>Columbia Threadneedle, Dynamic Real Return Fund</w:t>
      </w:r>
    </w:p>
    <w:tbl>
      <w:tblPr>
        <w:tblStyle w:val="bwTable"/>
        <w:tblW w:w="13306" w:type="dxa"/>
        <w:tblLook w:val="04A0" w:firstRow="1" w:lastRow="0" w:firstColumn="1" w:lastColumn="0" w:noHBand="0" w:noVBand="1"/>
      </w:tblPr>
      <w:tblGrid>
        <w:gridCol w:w="3325"/>
        <w:gridCol w:w="3327"/>
        <w:gridCol w:w="3327"/>
        <w:gridCol w:w="3327"/>
      </w:tblGrid>
      <w:tr w:rsidR="007F4127" w:rsidRPr="007F4127" w14:paraId="3AEB7AC2" w14:textId="77777777" w:rsidTr="008919D3">
        <w:trPr>
          <w:cnfStyle w:val="100000000000" w:firstRow="1" w:lastRow="0" w:firstColumn="0" w:lastColumn="0" w:oddVBand="0" w:evenVBand="0" w:oddHBand="0" w:evenHBand="0" w:firstRowFirstColumn="0" w:firstRowLastColumn="0" w:lastRowFirstColumn="0" w:lastRowLastColumn="0"/>
          <w:trHeight w:val="197"/>
          <w:tblHeader/>
        </w:trPr>
        <w:tc>
          <w:tcPr>
            <w:tcW w:w="3325" w:type="dxa"/>
          </w:tcPr>
          <w:p w14:paraId="49CF6386" w14:textId="7D741650" w:rsidR="007F4127" w:rsidRPr="007F4127" w:rsidRDefault="007F4127" w:rsidP="00C22120">
            <w:pPr>
              <w:pStyle w:val="BodyText"/>
              <w:spacing w:after="0"/>
              <w:jc w:val="left"/>
              <w:rPr>
                <w:b/>
                <w:sz w:val="16"/>
              </w:rPr>
            </w:pPr>
          </w:p>
        </w:tc>
        <w:tc>
          <w:tcPr>
            <w:tcW w:w="3327" w:type="dxa"/>
          </w:tcPr>
          <w:p w14:paraId="3429E9CA" w14:textId="62E8ED0A" w:rsidR="007F4127" w:rsidRPr="007F4127" w:rsidRDefault="007F4127" w:rsidP="00C22120">
            <w:pPr>
              <w:pStyle w:val="BodyText"/>
              <w:spacing w:after="0"/>
              <w:jc w:val="center"/>
              <w:rPr>
                <w:b/>
                <w:sz w:val="16"/>
              </w:rPr>
            </w:pPr>
            <w:r w:rsidRPr="007F4127">
              <w:rPr>
                <w:b/>
                <w:sz w:val="16"/>
              </w:rPr>
              <w:t>Vote 1</w:t>
            </w:r>
          </w:p>
        </w:tc>
        <w:tc>
          <w:tcPr>
            <w:tcW w:w="3327" w:type="dxa"/>
          </w:tcPr>
          <w:p w14:paraId="46FAC99E" w14:textId="789C8881" w:rsidR="007F4127" w:rsidRPr="007F4127" w:rsidRDefault="007F4127" w:rsidP="00C22120">
            <w:pPr>
              <w:pStyle w:val="BodyText"/>
              <w:spacing w:after="0"/>
              <w:jc w:val="center"/>
              <w:rPr>
                <w:b/>
                <w:sz w:val="16"/>
              </w:rPr>
            </w:pPr>
            <w:r w:rsidRPr="007F4127">
              <w:rPr>
                <w:b/>
                <w:sz w:val="16"/>
              </w:rPr>
              <w:t>Vote 2</w:t>
            </w:r>
          </w:p>
        </w:tc>
        <w:tc>
          <w:tcPr>
            <w:tcW w:w="3327" w:type="dxa"/>
          </w:tcPr>
          <w:p w14:paraId="1E158712" w14:textId="6FAD1647" w:rsidR="007F4127" w:rsidRPr="007F4127" w:rsidRDefault="007F4127" w:rsidP="00C22120">
            <w:pPr>
              <w:pStyle w:val="BodyText"/>
              <w:spacing w:after="0"/>
              <w:jc w:val="center"/>
              <w:rPr>
                <w:b/>
                <w:sz w:val="16"/>
              </w:rPr>
            </w:pPr>
            <w:r w:rsidRPr="007F4127">
              <w:rPr>
                <w:b/>
                <w:sz w:val="16"/>
              </w:rPr>
              <w:t>Vote 3</w:t>
            </w:r>
          </w:p>
        </w:tc>
      </w:tr>
      <w:tr w:rsidR="007F4127" w:rsidRPr="007F4127" w14:paraId="573EE996" w14:textId="77777777" w:rsidTr="008919D3">
        <w:trPr>
          <w:cnfStyle w:val="000000100000" w:firstRow="0" w:lastRow="0" w:firstColumn="0" w:lastColumn="0" w:oddVBand="0" w:evenVBand="0" w:oddHBand="1" w:evenHBand="0" w:firstRowFirstColumn="0" w:firstRowLastColumn="0" w:lastRowFirstColumn="0" w:lastRowLastColumn="0"/>
          <w:trHeight w:val="197"/>
        </w:trPr>
        <w:tc>
          <w:tcPr>
            <w:tcW w:w="3325" w:type="dxa"/>
          </w:tcPr>
          <w:p w14:paraId="76D1274F" w14:textId="3874A285" w:rsidR="007F4127" w:rsidRPr="007F4127" w:rsidRDefault="007F4127" w:rsidP="00C22120">
            <w:pPr>
              <w:pStyle w:val="BodyText"/>
              <w:spacing w:after="0"/>
              <w:jc w:val="left"/>
              <w:rPr>
                <w:b/>
                <w:sz w:val="16"/>
              </w:rPr>
            </w:pPr>
            <w:r w:rsidRPr="007F4127">
              <w:rPr>
                <w:b/>
                <w:sz w:val="16"/>
              </w:rPr>
              <w:t>Company name</w:t>
            </w:r>
          </w:p>
        </w:tc>
        <w:tc>
          <w:tcPr>
            <w:tcW w:w="3327" w:type="dxa"/>
          </w:tcPr>
          <w:p w14:paraId="50DE02CD" w14:textId="101662AD" w:rsidR="007F4127" w:rsidRPr="007F4127" w:rsidRDefault="003C1958" w:rsidP="00C22120">
            <w:pPr>
              <w:pStyle w:val="BodyText"/>
              <w:spacing w:after="0"/>
              <w:jc w:val="center"/>
              <w:rPr>
                <w:sz w:val="16"/>
              </w:rPr>
            </w:pPr>
            <w:r w:rsidRPr="003C1958">
              <w:rPr>
                <w:sz w:val="16"/>
              </w:rPr>
              <w:t>Caterpillar Inc.</w:t>
            </w:r>
          </w:p>
        </w:tc>
        <w:tc>
          <w:tcPr>
            <w:tcW w:w="3327" w:type="dxa"/>
          </w:tcPr>
          <w:p w14:paraId="701E4B1C" w14:textId="04682EEB" w:rsidR="007F4127" w:rsidRPr="007F4127" w:rsidRDefault="003C1958" w:rsidP="00C22120">
            <w:pPr>
              <w:pStyle w:val="BodyText"/>
              <w:spacing w:after="0"/>
              <w:jc w:val="center"/>
              <w:rPr>
                <w:sz w:val="16"/>
              </w:rPr>
            </w:pPr>
            <w:r w:rsidRPr="003C1958">
              <w:rPr>
                <w:sz w:val="16"/>
              </w:rPr>
              <w:t>Royal Dutch Shell Plc</w:t>
            </w:r>
          </w:p>
        </w:tc>
        <w:tc>
          <w:tcPr>
            <w:tcW w:w="3327" w:type="dxa"/>
          </w:tcPr>
          <w:p w14:paraId="55346CCD" w14:textId="5CB6741D" w:rsidR="007F4127" w:rsidRPr="007F4127" w:rsidRDefault="003C1958" w:rsidP="003C11BE">
            <w:pPr>
              <w:pStyle w:val="BodyText"/>
              <w:spacing w:after="0"/>
              <w:jc w:val="center"/>
              <w:rPr>
                <w:sz w:val="16"/>
              </w:rPr>
            </w:pPr>
            <w:r w:rsidRPr="003C1958">
              <w:rPr>
                <w:sz w:val="16"/>
              </w:rPr>
              <w:t>Eli Lilly and Company</w:t>
            </w:r>
          </w:p>
        </w:tc>
      </w:tr>
      <w:tr w:rsidR="007F4127" w:rsidRPr="007F4127" w14:paraId="3DCAD703" w14:textId="77777777" w:rsidTr="008919D3">
        <w:trPr>
          <w:cnfStyle w:val="000000010000" w:firstRow="0" w:lastRow="0" w:firstColumn="0" w:lastColumn="0" w:oddVBand="0" w:evenVBand="0" w:oddHBand="0" w:evenHBand="1" w:firstRowFirstColumn="0" w:firstRowLastColumn="0" w:lastRowFirstColumn="0" w:lastRowLastColumn="0"/>
          <w:trHeight w:val="207"/>
        </w:trPr>
        <w:tc>
          <w:tcPr>
            <w:tcW w:w="3325" w:type="dxa"/>
          </w:tcPr>
          <w:p w14:paraId="2393F5A9" w14:textId="4EFA8883" w:rsidR="007F4127" w:rsidRPr="007F4127" w:rsidRDefault="007F4127" w:rsidP="00C22120">
            <w:pPr>
              <w:pStyle w:val="BodyText"/>
              <w:spacing w:after="0"/>
              <w:jc w:val="left"/>
              <w:rPr>
                <w:b/>
                <w:sz w:val="16"/>
              </w:rPr>
            </w:pPr>
            <w:r w:rsidRPr="007F4127">
              <w:rPr>
                <w:b/>
                <w:sz w:val="16"/>
              </w:rPr>
              <w:t>Date of vote</w:t>
            </w:r>
          </w:p>
        </w:tc>
        <w:tc>
          <w:tcPr>
            <w:tcW w:w="3327" w:type="dxa"/>
          </w:tcPr>
          <w:p w14:paraId="7E4429E2" w14:textId="1BFEA91D" w:rsidR="007F4127" w:rsidRPr="007F4127" w:rsidRDefault="003C1958" w:rsidP="00C22120">
            <w:pPr>
              <w:pStyle w:val="BodyText"/>
              <w:spacing w:after="0"/>
              <w:jc w:val="center"/>
              <w:rPr>
                <w:sz w:val="16"/>
              </w:rPr>
            </w:pPr>
            <w:r>
              <w:rPr>
                <w:sz w:val="16"/>
              </w:rPr>
              <w:t>9 June 2021</w:t>
            </w:r>
          </w:p>
        </w:tc>
        <w:tc>
          <w:tcPr>
            <w:tcW w:w="3327" w:type="dxa"/>
          </w:tcPr>
          <w:p w14:paraId="1807CCF9" w14:textId="14972F04" w:rsidR="007F4127" w:rsidRPr="007F4127" w:rsidRDefault="003C1958" w:rsidP="00C22120">
            <w:pPr>
              <w:pStyle w:val="BodyText"/>
              <w:spacing w:after="0"/>
              <w:jc w:val="center"/>
              <w:rPr>
                <w:sz w:val="16"/>
              </w:rPr>
            </w:pPr>
            <w:r>
              <w:rPr>
                <w:sz w:val="16"/>
              </w:rPr>
              <w:t>18 May 2021</w:t>
            </w:r>
          </w:p>
        </w:tc>
        <w:tc>
          <w:tcPr>
            <w:tcW w:w="3327" w:type="dxa"/>
          </w:tcPr>
          <w:p w14:paraId="7E4F2852" w14:textId="3632EA3B" w:rsidR="007F4127" w:rsidRPr="007F4127" w:rsidRDefault="003C1958" w:rsidP="00C22120">
            <w:pPr>
              <w:pStyle w:val="BodyText"/>
              <w:spacing w:after="0"/>
              <w:jc w:val="center"/>
              <w:rPr>
                <w:sz w:val="16"/>
              </w:rPr>
            </w:pPr>
            <w:r>
              <w:rPr>
                <w:sz w:val="16"/>
              </w:rPr>
              <w:t>3 May 2021</w:t>
            </w:r>
          </w:p>
        </w:tc>
      </w:tr>
      <w:tr w:rsidR="007F4127" w:rsidRPr="007F4127" w14:paraId="7C85294B" w14:textId="77777777" w:rsidTr="008919D3">
        <w:trPr>
          <w:cnfStyle w:val="000000100000" w:firstRow="0" w:lastRow="0" w:firstColumn="0" w:lastColumn="0" w:oddVBand="0" w:evenVBand="0" w:oddHBand="1" w:evenHBand="0" w:firstRowFirstColumn="0" w:firstRowLastColumn="0" w:lastRowFirstColumn="0" w:lastRowLastColumn="0"/>
          <w:trHeight w:val="603"/>
        </w:trPr>
        <w:tc>
          <w:tcPr>
            <w:tcW w:w="3325" w:type="dxa"/>
          </w:tcPr>
          <w:p w14:paraId="12B795F4" w14:textId="27B9AF09" w:rsidR="007F4127" w:rsidRPr="007F4127" w:rsidRDefault="007F4127" w:rsidP="00C22120">
            <w:pPr>
              <w:pStyle w:val="BodyText"/>
              <w:spacing w:after="0"/>
              <w:jc w:val="left"/>
              <w:rPr>
                <w:b/>
                <w:sz w:val="16"/>
              </w:rPr>
            </w:pPr>
            <w:r w:rsidRPr="007F4127">
              <w:rPr>
                <w:b/>
                <w:sz w:val="16"/>
              </w:rPr>
              <w:t>Approximate size of fund's holding as at the date of the vote (as % of portfolio)</w:t>
            </w:r>
          </w:p>
        </w:tc>
        <w:tc>
          <w:tcPr>
            <w:tcW w:w="3327" w:type="dxa"/>
          </w:tcPr>
          <w:p w14:paraId="28007860" w14:textId="536732E7" w:rsidR="007F4127" w:rsidRPr="007F4127" w:rsidRDefault="00074358" w:rsidP="00C22120">
            <w:pPr>
              <w:pStyle w:val="BodyText"/>
              <w:spacing w:after="0"/>
              <w:jc w:val="center"/>
              <w:rPr>
                <w:sz w:val="16"/>
              </w:rPr>
            </w:pPr>
            <w:r>
              <w:rPr>
                <w:sz w:val="16"/>
              </w:rPr>
              <w:t>0.</w:t>
            </w:r>
            <w:r w:rsidR="003C1958">
              <w:rPr>
                <w:sz w:val="16"/>
              </w:rPr>
              <w:t>0</w:t>
            </w:r>
            <w:r>
              <w:rPr>
                <w:sz w:val="16"/>
              </w:rPr>
              <w:t>3</w:t>
            </w:r>
            <w:r w:rsidR="00A22873">
              <w:rPr>
                <w:sz w:val="16"/>
              </w:rPr>
              <w:t>%</w:t>
            </w:r>
          </w:p>
        </w:tc>
        <w:tc>
          <w:tcPr>
            <w:tcW w:w="3327" w:type="dxa"/>
          </w:tcPr>
          <w:p w14:paraId="3516C056" w14:textId="1D3CEE94" w:rsidR="007F4127" w:rsidRPr="007F4127" w:rsidRDefault="003C11BE" w:rsidP="00C22120">
            <w:pPr>
              <w:pStyle w:val="BodyText"/>
              <w:spacing w:after="0"/>
              <w:jc w:val="center"/>
              <w:rPr>
                <w:sz w:val="16"/>
              </w:rPr>
            </w:pPr>
            <w:r>
              <w:rPr>
                <w:sz w:val="16"/>
              </w:rPr>
              <w:t>0.</w:t>
            </w:r>
            <w:r w:rsidR="003C1958">
              <w:rPr>
                <w:sz w:val="16"/>
              </w:rPr>
              <w:t>15</w:t>
            </w:r>
            <w:r w:rsidR="00A22873">
              <w:rPr>
                <w:sz w:val="16"/>
              </w:rPr>
              <w:t>%</w:t>
            </w:r>
          </w:p>
        </w:tc>
        <w:tc>
          <w:tcPr>
            <w:tcW w:w="3327" w:type="dxa"/>
          </w:tcPr>
          <w:p w14:paraId="44DD6554" w14:textId="5F22AEF9" w:rsidR="007F4127" w:rsidRPr="007F4127" w:rsidRDefault="003C11BE" w:rsidP="00C22120">
            <w:pPr>
              <w:pStyle w:val="BodyText"/>
              <w:spacing w:after="0"/>
              <w:jc w:val="center"/>
              <w:rPr>
                <w:sz w:val="16"/>
              </w:rPr>
            </w:pPr>
            <w:r>
              <w:rPr>
                <w:sz w:val="16"/>
              </w:rPr>
              <w:t>0.0</w:t>
            </w:r>
            <w:r w:rsidR="003C1958">
              <w:rPr>
                <w:sz w:val="16"/>
              </w:rPr>
              <w:t>4</w:t>
            </w:r>
            <w:r w:rsidR="00A22873">
              <w:rPr>
                <w:sz w:val="16"/>
              </w:rPr>
              <w:t>%</w:t>
            </w:r>
          </w:p>
        </w:tc>
      </w:tr>
      <w:tr w:rsidR="007F4127" w:rsidRPr="007F4127" w14:paraId="25B09A45" w14:textId="77777777" w:rsidTr="008919D3">
        <w:trPr>
          <w:cnfStyle w:val="000000010000" w:firstRow="0" w:lastRow="0" w:firstColumn="0" w:lastColumn="0" w:oddVBand="0" w:evenVBand="0" w:oddHBand="0" w:evenHBand="1" w:firstRowFirstColumn="0" w:firstRowLastColumn="0" w:lastRowFirstColumn="0" w:lastRowLastColumn="0"/>
          <w:trHeight w:val="603"/>
        </w:trPr>
        <w:tc>
          <w:tcPr>
            <w:tcW w:w="3325" w:type="dxa"/>
          </w:tcPr>
          <w:p w14:paraId="7DC891B7" w14:textId="5D4CC32C" w:rsidR="007F4127" w:rsidRPr="007F4127" w:rsidRDefault="007F4127" w:rsidP="00C22120">
            <w:pPr>
              <w:pStyle w:val="BodyText"/>
              <w:spacing w:after="0"/>
              <w:jc w:val="left"/>
              <w:rPr>
                <w:b/>
                <w:sz w:val="16"/>
              </w:rPr>
            </w:pPr>
            <w:r w:rsidRPr="007F4127">
              <w:rPr>
                <w:b/>
                <w:sz w:val="16"/>
              </w:rPr>
              <w:t>Summary of the resolution</w:t>
            </w:r>
          </w:p>
        </w:tc>
        <w:tc>
          <w:tcPr>
            <w:tcW w:w="3327" w:type="dxa"/>
          </w:tcPr>
          <w:p w14:paraId="128B21DA" w14:textId="5B3F4960" w:rsidR="007F4127" w:rsidRPr="007F4127" w:rsidRDefault="003C1958" w:rsidP="00C22120">
            <w:pPr>
              <w:pStyle w:val="BodyText"/>
              <w:spacing w:after="0"/>
              <w:jc w:val="center"/>
              <w:rPr>
                <w:sz w:val="16"/>
              </w:rPr>
            </w:pPr>
            <w:r w:rsidRPr="003C1958">
              <w:rPr>
                <w:sz w:val="16"/>
              </w:rPr>
              <w:t>Report on Climate Policy</w:t>
            </w:r>
          </w:p>
        </w:tc>
        <w:tc>
          <w:tcPr>
            <w:tcW w:w="3327" w:type="dxa"/>
          </w:tcPr>
          <w:p w14:paraId="7E9E7225" w14:textId="1813CB67" w:rsidR="007F4127" w:rsidRPr="007F4127" w:rsidRDefault="003C1958" w:rsidP="00C22120">
            <w:pPr>
              <w:pStyle w:val="BodyText"/>
              <w:spacing w:after="0"/>
              <w:jc w:val="center"/>
              <w:rPr>
                <w:sz w:val="16"/>
              </w:rPr>
            </w:pPr>
            <w:r w:rsidRPr="003C1958">
              <w:rPr>
                <w:sz w:val="16"/>
              </w:rPr>
              <w:t>Request Shell to Set and Publish Targets for Greenhouse Gas (GHG) Emissions</w:t>
            </w:r>
          </w:p>
        </w:tc>
        <w:tc>
          <w:tcPr>
            <w:tcW w:w="3327" w:type="dxa"/>
          </w:tcPr>
          <w:p w14:paraId="1F8E005C" w14:textId="26A7D687" w:rsidR="007F4127" w:rsidRPr="007F4127" w:rsidRDefault="003C1958" w:rsidP="00C22120">
            <w:pPr>
              <w:pStyle w:val="BodyText"/>
              <w:spacing w:after="0"/>
              <w:jc w:val="center"/>
              <w:rPr>
                <w:sz w:val="16"/>
              </w:rPr>
            </w:pPr>
            <w:r w:rsidRPr="003C1958">
              <w:rPr>
                <w:sz w:val="16"/>
              </w:rPr>
              <w:t>Report on Lobbying Payments and Policy</w:t>
            </w:r>
          </w:p>
        </w:tc>
      </w:tr>
      <w:tr w:rsidR="007F4127" w:rsidRPr="007F4127" w14:paraId="266EC143" w14:textId="77777777" w:rsidTr="008919D3">
        <w:trPr>
          <w:cnfStyle w:val="000000100000" w:firstRow="0" w:lastRow="0" w:firstColumn="0" w:lastColumn="0" w:oddVBand="0" w:evenVBand="0" w:oddHBand="1" w:evenHBand="0" w:firstRowFirstColumn="0" w:firstRowLastColumn="0" w:lastRowFirstColumn="0" w:lastRowLastColumn="0"/>
          <w:trHeight w:val="197"/>
        </w:trPr>
        <w:tc>
          <w:tcPr>
            <w:tcW w:w="3325" w:type="dxa"/>
          </w:tcPr>
          <w:p w14:paraId="2C3326BD" w14:textId="2FE62D7F" w:rsidR="007F4127" w:rsidRPr="007F4127" w:rsidRDefault="007F4127" w:rsidP="001919F9">
            <w:pPr>
              <w:pStyle w:val="BodyText"/>
              <w:spacing w:after="0"/>
              <w:jc w:val="left"/>
              <w:rPr>
                <w:b/>
                <w:sz w:val="16"/>
              </w:rPr>
            </w:pPr>
            <w:r w:rsidRPr="007F4127">
              <w:rPr>
                <w:b/>
                <w:sz w:val="16"/>
              </w:rPr>
              <w:t xml:space="preserve">How </w:t>
            </w:r>
            <w:r w:rsidR="001919F9">
              <w:rPr>
                <w:b/>
                <w:sz w:val="16"/>
              </w:rPr>
              <w:t>the manager voted</w:t>
            </w:r>
          </w:p>
        </w:tc>
        <w:tc>
          <w:tcPr>
            <w:tcW w:w="3327" w:type="dxa"/>
          </w:tcPr>
          <w:p w14:paraId="4161E931" w14:textId="01307658" w:rsidR="007F4127" w:rsidRPr="007F4127" w:rsidRDefault="00074358" w:rsidP="00C22120">
            <w:pPr>
              <w:pStyle w:val="BodyText"/>
              <w:spacing w:after="0"/>
              <w:jc w:val="center"/>
              <w:rPr>
                <w:sz w:val="16"/>
              </w:rPr>
            </w:pPr>
            <w:r>
              <w:rPr>
                <w:sz w:val="16"/>
              </w:rPr>
              <w:t>For</w:t>
            </w:r>
          </w:p>
        </w:tc>
        <w:tc>
          <w:tcPr>
            <w:tcW w:w="3327" w:type="dxa"/>
          </w:tcPr>
          <w:p w14:paraId="643BD00B" w14:textId="04C9F48E" w:rsidR="007F4127" w:rsidRPr="007F4127" w:rsidRDefault="003C1958" w:rsidP="00C22120">
            <w:pPr>
              <w:pStyle w:val="BodyText"/>
              <w:spacing w:after="0"/>
              <w:jc w:val="center"/>
              <w:rPr>
                <w:sz w:val="16"/>
              </w:rPr>
            </w:pPr>
            <w:r>
              <w:rPr>
                <w:sz w:val="16"/>
              </w:rPr>
              <w:t>Abstain</w:t>
            </w:r>
          </w:p>
        </w:tc>
        <w:tc>
          <w:tcPr>
            <w:tcW w:w="3327" w:type="dxa"/>
          </w:tcPr>
          <w:p w14:paraId="65A92EA1" w14:textId="249CF132" w:rsidR="007F4127" w:rsidRPr="007F4127" w:rsidRDefault="003C1958" w:rsidP="00C22120">
            <w:pPr>
              <w:pStyle w:val="BodyText"/>
              <w:spacing w:after="0"/>
              <w:jc w:val="center"/>
              <w:rPr>
                <w:sz w:val="16"/>
              </w:rPr>
            </w:pPr>
            <w:r>
              <w:rPr>
                <w:sz w:val="16"/>
              </w:rPr>
              <w:t>For</w:t>
            </w:r>
          </w:p>
        </w:tc>
      </w:tr>
      <w:tr w:rsidR="007F4127" w:rsidRPr="007F4127" w14:paraId="38C3A93A" w14:textId="77777777" w:rsidTr="00A22873">
        <w:trPr>
          <w:cnfStyle w:val="000000010000" w:firstRow="0" w:lastRow="0" w:firstColumn="0" w:lastColumn="0" w:oddVBand="0" w:evenVBand="0" w:oddHBand="0" w:evenHBand="1" w:firstRowFirstColumn="0" w:firstRowLastColumn="0" w:lastRowFirstColumn="0" w:lastRowLastColumn="0"/>
          <w:trHeight w:val="543"/>
        </w:trPr>
        <w:tc>
          <w:tcPr>
            <w:tcW w:w="3325" w:type="dxa"/>
          </w:tcPr>
          <w:p w14:paraId="763218A1" w14:textId="517744CF" w:rsidR="007F4127" w:rsidRPr="007F4127" w:rsidRDefault="001919F9" w:rsidP="001919F9">
            <w:pPr>
              <w:pStyle w:val="BodyText"/>
              <w:spacing w:after="0"/>
              <w:jc w:val="left"/>
              <w:rPr>
                <w:b/>
                <w:sz w:val="16"/>
              </w:rPr>
            </w:pPr>
            <w:r>
              <w:rPr>
                <w:b/>
                <w:sz w:val="16"/>
              </w:rPr>
              <w:t xml:space="preserve">If the vote was against management, did the manager </w:t>
            </w:r>
            <w:r w:rsidR="007F4127" w:rsidRPr="007F4127">
              <w:rPr>
                <w:b/>
                <w:sz w:val="16"/>
              </w:rPr>
              <w:t xml:space="preserve">communicate </w:t>
            </w:r>
            <w:r>
              <w:rPr>
                <w:b/>
                <w:sz w:val="16"/>
              </w:rPr>
              <w:t>their</w:t>
            </w:r>
            <w:r w:rsidR="007F4127" w:rsidRPr="007F4127">
              <w:rPr>
                <w:b/>
                <w:sz w:val="16"/>
              </w:rPr>
              <w:t xml:space="preserve"> intent to the company ahead of the vote?</w:t>
            </w:r>
          </w:p>
        </w:tc>
        <w:tc>
          <w:tcPr>
            <w:tcW w:w="3327" w:type="dxa"/>
          </w:tcPr>
          <w:p w14:paraId="7AE7D8D6" w14:textId="62F9D9B4" w:rsidR="007F4127" w:rsidRPr="007F4127" w:rsidRDefault="00074358" w:rsidP="00C22120">
            <w:pPr>
              <w:pStyle w:val="BodyText"/>
              <w:spacing w:after="0"/>
              <w:jc w:val="center"/>
              <w:rPr>
                <w:sz w:val="16"/>
              </w:rPr>
            </w:pPr>
            <w:r>
              <w:rPr>
                <w:sz w:val="16"/>
              </w:rPr>
              <w:t>No</w:t>
            </w:r>
          </w:p>
        </w:tc>
        <w:tc>
          <w:tcPr>
            <w:tcW w:w="3327" w:type="dxa"/>
          </w:tcPr>
          <w:p w14:paraId="2B768FCA" w14:textId="735E8250" w:rsidR="007F4127" w:rsidRPr="007F4127" w:rsidRDefault="003C11BE" w:rsidP="00C22120">
            <w:pPr>
              <w:pStyle w:val="BodyText"/>
              <w:spacing w:after="0"/>
              <w:jc w:val="center"/>
              <w:rPr>
                <w:sz w:val="16"/>
              </w:rPr>
            </w:pPr>
            <w:r>
              <w:rPr>
                <w:sz w:val="16"/>
              </w:rPr>
              <w:t>No</w:t>
            </w:r>
          </w:p>
        </w:tc>
        <w:tc>
          <w:tcPr>
            <w:tcW w:w="3327" w:type="dxa"/>
          </w:tcPr>
          <w:p w14:paraId="7E771092" w14:textId="65D9926A" w:rsidR="007F4127" w:rsidRPr="007F4127" w:rsidRDefault="003C11BE" w:rsidP="00C22120">
            <w:pPr>
              <w:pStyle w:val="BodyText"/>
              <w:spacing w:after="0"/>
              <w:jc w:val="center"/>
              <w:rPr>
                <w:sz w:val="16"/>
              </w:rPr>
            </w:pPr>
            <w:r>
              <w:rPr>
                <w:sz w:val="16"/>
              </w:rPr>
              <w:t>No</w:t>
            </w:r>
          </w:p>
        </w:tc>
      </w:tr>
      <w:tr w:rsidR="007F4127" w:rsidRPr="007F4127" w14:paraId="37C8AA0F" w14:textId="77777777" w:rsidTr="008919D3">
        <w:trPr>
          <w:cnfStyle w:val="000000100000" w:firstRow="0" w:lastRow="0" w:firstColumn="0" w:lastColumn="0" w:oddVBand="0" w:evenVBand="0" w:oddHBand="1" w:evenHBand="0" w:firstRowFirstColumn="0" w:firstRowLastColumn="0" w:lastRowFirstColumn="0" w:lastRowLastColumn="0"/>
          <w:trHeight w:val="395"/>
        </w:trPr>
        <w:tc>
          <w:tcPr>
            <w:tcW w:w="3325" w:type="dxa"/>
          </w:tcPr>
          <w:p w14:paraId="445701E4" w14:textId="29BE8BEE" w:rsidR="007F4127" w:rsidRPr="007F4127" w:rsidRDefault="007F4127" w:rsidP="00C22120">
            <w:pPr>
              <w:pStyle w:val="BodyText"/>
              <w:spacing w:after="0"/>
              <w:jc w:val="left"/>
              <w:rPr>
                <w:b/>
                <w:sz w:val="16"/>
              </w:rPr>
            </w:pPr>
            <w:r w:rsidRPr="007F4127">
              <w:rPr>
                <w:b/>
                <w:sz w:val="16"/>
              </w:rPr>
              <w:t>Rationale for the voting decision</w:t>
            </w:r>
          </w:p>
        </w:tc>
        <w:tc>
          <w:tcPr>
            <w:tcW w:w="3327" w:type="dxa"/>
          </w:tcPr>
          <w:p w14:paraId="58F04F3C" w14:textId="1EDED5FD" w:rsidR="007F4127" w:rsidRPr="007F4127" w:rsidRDefault="003C1958" w:rsidP="00C22120">
            <w:pPr>
              <w:pStyle w:val="BodyText"/>
              <w:spacing w:after="0"/>
              <w:jc w:val="center"/>
              <w:rPr>
                <w:sz w:val="16"/>
              </w:rPr>
            </w:pPr>
            <w:r w:rsidRPr="003C1958">
              <w:rPr>
                <w:sz w:val="16"/>
              </w:rPr>
              <w:t>Supporting better ESG risk management disclosures</w:t>
            </w:r>
          </w:p>
        </w:tc>
        <w:tc>
          <w:tcPr>
            <w:tcW w:w="3327" w:type="dxa"/>
          </w:tcPr>
          <w:p w14:paraId="161C8E9C" w14:textId="7EDCA893" w:rsidR="007F4127" w:rsidRPr="007F4127" w:rsidRDefault="003C1958" w:rsidP="00C22120">
            <w:pPr>
              <w:pStyle w:val="BodyText"/>
              <w:spacing w:after="0"/>
              <w:jc w:val="center"/>
              <w:rPr>
                <w:sz w:val="16"/>
              </w:rPr>
            </w:pPr>
            <w:r w:rsidRPr="003C1958">
              <w:rPr>
                <w:sz w:val="16"/>
              </w:rPr>
              <w:t>Not in shareholders' best interest</w:t>
            </w:r>
          </w:p>
        </w:tc>
        <w:tc>
          <w:tcPr>
            <w:tcW w:w="3327" w:type="dxa"/>
          </w:tcPr>
          <w:p w14:paraId="6097BA08" w14:textId="0BB31E52" w:rsidR="007F4127" w:rsidRPr="007F4127" w:rsidRDefault="003C1958" w:rsidP="00A22873">
            <w:pPr>
              <w:pStyle w:val="BodyText"/>
              <w:spacing w:after="0"/>
              <w:jc w:val="center"/>
              <w:rPr>
                <w:sz w:val="16"/>
              </w:rPr>
            </w:pPr>
            <w:r w:rsidRPr="003C1958">
              <w:rPr>
                <w:sz w:val="16"/>
              </w:rPr>
              <w:t>Supporting better ESG risk management disclosures</w:t>
            </w:r>
          </w:p>
        </w:tc>
      </w:tr>
      <w:tr w:rsidR="007F4127" w:rsidRPr="007F4127" w14:paraId="131468F1" w14:textId="77777777" w:rsidTr="008919D3">
        <w:trPr>
          <w:cnfStyle w:val="000000010000" w:firstRow="0" w:lastRow="0" w:firstColumn="0" w:lastColumn="0" w:oddVBand="0" w:evenVBand="0" w:oddHBand="0" w:evenHBand="1" w:firstRowFirstColumn="0" w:firstRowLastColumn="0" w:lastRowFirstColumn="0" w:lastRowLastColumn="0"/>
          <w:trHeight w:val="207"/>
        </w:trPr>
        <w:tc>
          <w:tcPr>
            <w:tcW w:w="3325" w:type="dxa"/>
          </w:tcPr>
          <w:p w14:paraId="46F2FE4C" w14:textId="4D0A5ADF" w:rsidR="007F4127" w:rsidRPr="007F4127" w:rsidRDefault="007F4127" w:rsidP="00C22120">
            <w:pPr>
              <w:pStyle w:val="BodyText"/>
              <w:spacing w:after="0"/>
              <w:jc w:val="left"/>
              <w:rPr>
                <w:b/>
                <w:sz w:val="16"/>
              </w:rPr>
            </w:pPr>
            <w:r w:rsidRPr="007F4127">
              <w:rPr>
                <w:b/>
                <w:sz w:val="16"/>
              </w:rPr>
              <w:t>Outcome of the vote</w:t>
            </w:r>
          </w:p>
        </w:tc>
        <w:tc>
          <w:tcPr>
            <w:tcW w:w="3327" w:type="dxa"/>
          </w:tcPr>
          <w:p w14:paraId="731290C8" w14:textId="15524C92" w:rsidR="007F4127" w:rsidRPr="007F4127" w:rsidRDefault="00074358" w:rsidP="00C22120">
            <w:pPr>
              <w:pStyle w:val="BodyText"/>
              <w:spacing w:after="0"/>
              <w:jc w:val="center"/>
              <w:rPr>
                <w:sz w:val="16"/>
              </w:rPr>
            </w:pPr>
            <w:r>
              <w:rPr>
                <w:sz w:val="16"/>
              </w:rPr>
              <w:t>Fail</w:t>
            </w:r>
          </w:p>
        </w:tc>
        <w:tc>
          <w:tcPr>
            <w:tcW w:w="3327" w:type="dxa"/>
          </w:tcPr>
          <w:p w14:paraId="2A494D6E" w14:textId="6CCAC48D" w:rsidR="007F4127" w:rsidRPr="007F4127" w:rsidRDefault="003C11BE" w:rsidP="00C22120">
            <w:pPr>
              <w:pStyle w:val="BodyText"/>
              <w:spacing w:after="0"/>
              <w:jc w:val="center"/>
              <w:rPr>
                <w:sz w:val="16"/>
              </w:rPr>
            </w:pPr>
            <w:r>
              <w:rPr>
                <w:sz w:val="16"/>
              </w:rPr>
              <w:t>Fail</w:t>
            </w:r>
          </w:p>
        </w:tc>
        <w:tc>
          <w:tcPr>
            <w:tcW w:w="3327" w:type="dxa"/>
          </w:tcPr>
          <w:p w14:paraId="592C49B4" w14:textId="2E9EFD27" w:rsidR="007F4127" w:rsidRPr="007F4127" w:rsidRDefault="003C1958" w:rsidP="00C22120">
            <w:pPr>
              <w:pStyle w:val="BodyText"/>
              <w:spacing w:after="0"/>
              <w:jc w:val="center"/>
              <w:rPr>
                <w:sz w:val="16"/>
              </w:rPr>
            </w:pPr>
            <w:r>
              <w:rPr>
                <w:sz w:val="16"/>
              </w:rPr>
              <w:t>Fail</w:t>
            </w:r>
          </w:p>
        </w:tc>
      </w:tr>
      <w:tr w:rsidR="00074358" w:rsidRPr="007F4127" w14:paraId="45A65379" w14:textId="77777777" w:rsidTr="008919D3">
        <w:trPr>
          <w:cnfStyle w:val="000000100000" w:firstRow="0" w:lastRow="0" w:firstColumn="0" w:lastColumn="0" w:oddVBand="0" w:evenVBand="0" w:oddHBand="1" w:evenHBand="0" w:firstRowFirstColumn="0" w:firstRowLastColumn="0" w:lastRowFirstColumn="0" w:lastRowLastColumn="0"/>
          <w:trHeight w:val="395"/>
        </w:trPr>
        <w:tc>
          <w:tcPr>
            <w:tcW w:w="3325" w:type="dxa"/>
          </w:tcPr>
          <w:p w14:paraId="43C832EB" w14:textId="46A95F3E" w:rsidR="00074358" w:rsidRPr="007F4127" w:rsidRDefault="00074358" w:rsidP="001919F9">
            <w:pPr>
              <w:pStyle w:val="BodyText"/>
              <w:spacing w:after="0"/>
              <w:jc w:val="left"/>
              <w:rPr>
                <w:b/>
                <w:sz w:val="16"/>
              </w:rPr>
            </w:pPr>
            <w:r>
              <w:rPr>
                <w:b/>
                <w:sz w:val="16"/>
              </w:rPr>
              <w:t>Implications of the outcome</w:t>
            </w:r>
          </w:p>
        </w:tc>
        <w:tc>
          <w:tcPr>
            <w:tcW w:w="9981" w:type="dxa"/>
            <w:gridSpan w:val="3"/>
          </w:tcPr>
          <w:p w14:paraId="0089E86D" w14:textId="27A1C117" w:rsidR="00074358" w:rsidRPr="007F4127" w:rsidRDefault="00074358" w:rsidP="00C22120">
            <w:pPr>
              <w:pStyle w:val="BodyText"/>
              <w:spacing w:after="0"/>
              <w:jc w:val="center"/>
              <w:rPr>
                <w:sz w:val="16"/>
              </w:rPr>
            </w:pPr>
            <w:r w:rsidRPr="00074358">
              <w:rPr>
                <w:sz w:val="16"/>
              </w:rPr>
              <w:t>Active stewardship (engagement and voting) continues</w:t>
            </w:r>
            <w:r w:rsidR="000940E7">
              <w:rPr>
                <w:sz w:val="16"/>
              </w:rPr>
              <w:t xml:space="preserve"> to form an integral part of the manager’s</w:t>
            </w:r>
            <w:r w:rsidRPr="00074358">
              <w:rPr>
                <w:sz w:val="16"/>
              </w:rPr>
              <w:t xml:space="preserve"> research and investment process.</w:t>
            </w:r>
          </w:p>
        </w:tc>
      </w:tr>
      <w:tr w:rsidR="00074358" w:rsidRPr="007F4127" w14:paraId="47F1F357" w14:textId="77777777" w:rsidTr="008919D3">
        <w:trPr>
          <w:cnfStyle w:val="000000010000" w:firstRow="0" w:lastRow="0" w:firstColumn="0" w:lastColumn="0" w:oddVBand="0" w:evenVBand="0" w:oddHBand="0" w:evenHBand="1" w:firstRowFirstColumn="0" w:firstRowLastColumn="0" w:lastRowFirstColumn="0" w:lastRowLastColumn="0"/>
          <w:trHeight w:val="404"/>
        </w:trPr>
        <w:tc>
          <w:tcPr>
            <w:tcW w:w="3325" w:type="dxa"/>
          </w:tcPr>
          <w:p w14:paraId="3CB90396" w14:textId="134AA7A5" w:rsidR="00074358" w:rsidRPr="007F4127" w:rsidRDefault="00074358" w:rsidP="001919F9">
            <w:pPr>
              <w:pStyle w:val="BodyText"/>
              <w:spacing w:after="0"/>
              <w:jc w:val="left"/>
              <w:rPr>
                <w:b/>
                <w:sz w:val="16"/>
              </w:rPr>
            </w:pPr>
            <w:r>
              <w:rPr>
                <w:b/>
                <w:sz w:val="16"/>
              </w:rPr>
              <w:t xml:space="preserve">Criteria on which the vote is considered “significant” </w:t>
            </w:r>
          </w:p>
        </w:tc>
        <w:tc>
          <w:tcPr>
            <w:tcW w:w="9981" w:type="dxa"/>
            <w:gridSpan w:val="3"/>
          </w:tcPr>
          <w:p w14:paraId="0D1A606D" w14:textId="1834E183" w:rsidR="00074358" w:rsidRPr="007F4127" w:rsidRDefault="00074358" w:rsidP="00C22120">
            <w:pPr>
              <w:pStyle w:val="BodyText"/>
              <w:spacing w:after="0"/>
              <w:jc w:val="center"/>
              <w:rPr>
                <w:sz w:val="16"/>
              </w:rPr>
            </w:pPr>
            <w:r w:rsidRPr="00074358">
              <w:rPr>
                <w:sz w:val="16"/>
              </w:rPr>
              <w:t>Vote against management</w:t>
            </w:r>
          </w:p>
        </w:tc>
      </w:tr>
    </w:tbl>
    <w:p w14:paraId="0BD09B61" w14:textId="684555ED" w:rsidR="000B39E9" w:rsidRDefault="000B39E9" w:rsidP="00EC4E7F">
      <w:pPr>
        <w:pStyle w:val="BodyText"/>
        <w:rPr>
          <w:b/>
        </w:rPr>
      </w:pPr>
    </w:p>
    <w:p w14:paraId="03FF4C77" w14:textId="77777777" w:rsidR="008919D3" w:rsidRDefault="008919D3">
      <w:pPr>
        <w:spacing w:after="200" w:line="276" w:lineRule="auto"/>
        <w:rPr>
          <w:b/>
        </w:rPr>
        <w:sectPr w:rsidR="008919D3" w:rsidSect="008919D3">
          <w:pgSz w:w="16838" w:h="11906" w:orient="landscape"/>
          <w:pgMar w:top="1020" w:right="2268" w:bottom="1020" w:left="1440" w:header="708" w:footer="708" w:gutter="0"/>
          <w:cols w:space="708"/>
          <w:docGrid w:linePitch="360"/>
        </w:sectPr>
      </w:pPr>
    </w:p>
    <w:p w14:paraId="5122DAD6" w14:textId="77777777" w:rsidR="00B752DC" w:rsidRDefault="00B752DC" w:rsidP="003178AD">
      <w:pPr>
        <w:pStyle w:val="Heading2"/>
      </w:pPr>
    </w:p>
    <w:p w14:paraId="1BBD0FF8" w14:textId="2AEC9528" w:rsidR="001D606F" w:rsidRDefault="001D606F" w:rsidP="003178AD">
      <w:pPr>
        <w:pStyle w:val="Heading2"/>
      </w:pPr>
      <w:r w:rsidRPr="003178AD">
        <w:t>Fund level engagement</w:t>
      </w:r>
    </w:p>
    <w:p w14:paraId="352529E9" w14:textId="1818C9EF" w:rsidR="00C6171D" w:rsidRPr="00C6171D" w:rsidRDefault="00C6171D" w:rsidP="0036432C">
      <w:pPr>
        <w:pStyle w:val="BodyText"/>
      </w:pPr>
      <w:r>
        <w:t xml:space="preserve">The investment managers may engage with investee companies on behalf of the Trustees. The table below provides a summary of the engagement activities undertaken by each manager during the year for the relevant funds. Engagement activities are limited for the Scheme’s LDI and cash funds due to the nature of the underlying holdings, therefore engagement information for these assets have not been shown. </w:t>
      </w:r>
    </w:p>
    <w:tbl>
      <w:tblPr>
        <w:tblStyle w:val="bwTable"/>
        <w:tblW w:w="13389" w:type="dxa"/>
        <w:tblInd w:w="10" w:type="dxa"/>
        <w:tblLook w:val="04A0" w:firstRow="1" w:lastRow="0" w:firstColumn="1" w:lastColumn="0" w:noHBand="0" w:noVBand="1"/>
      </w:tblPr>
      <w:tblGrid>
        <w:gridCol w:w="3109"/>
        <w:gridCol w:w="5140"/>
        <w:gridCol w:w="5140"/>
      </w:tblGrid>
      <w:tr w:rsidR="00482AB1" w:rsidRPr="007F4127" w14:paraId="0C16E697" w14:textId="77777777" w:rsidTr="0036432C">
        <w:trPr>
          <w:cnfStyle w:val="100000000000" w:firstRow="1" w:lastRow="0" w:firstColumn="0" w:lastColumn="0" w:oddVBand="0" w:evenVBand="0" w:oddHBand="0" w:evenHBand="0" w:firstRowFirstColumn="0" w:firstRowLastColumn="0" w:lastRowFirstColumn="0" w:lastRowLastColumn="0"/>
          <w:trHeight w:val="202"/>
          <w:tblHeader/>
        </w:trPr>
        <w:tc>
          <w:tcPr>
            <w:tcW w:w="3109" w:type="dxa"/>
          </w:tcPr>
          <w:p w14:paraId="10F693E7" w14:textId="77777777" w:rsidR="00286324" w:rsidRPr="007F4127" w:rsidRDefault="00286324" w:rsidP="00C22120">
            <w:pPr>
              <w:pStyle w:val="BodyText"/>
              <w:spacing w:after="0"/>
              <w:jc w:val="left"/>
              <w:rPr>
                <w:b/>
                <w:sz w:val="16"/>
              </w:rPr>
            </w:pPr>
            <w:r w:rsidRPr="007F4127">
              <w:rPr>
                <w:b/>
                <w:sz w:val="16"/>
              </w:rPr>
              <w:t>Manager</w:t>
            </w:r>
          </w:p>
        </w:tc>
        <w:tc>
          <w:tcPr>
            <w:tcW w:w="5140" w:type="dxa"/>
          </w:tcPr>
          <w:p w14:paraId="355046CC" w14:textId="7345DAB9" w:rsidR="00286324" w:rsidRDefault="00286324" w:rsidP="00C22120">
            <w:pPr>
              <w:pStyle w:val="BodyText"/>
              <w:spacing w:after="0"/>
              <w:jc w:val="center"/>
              <w:rPr>
                <w:b/>
                <w:sz w:val="16"/>
              </w:rPr>
            </w:pPr>
            <w:r>
              <w:rPr>
                <w:b/>
                <w:sz w:val="16"/>
              </w:rPr>
              <w:t>Columbia Threadneedle</w:t>
            </w:r>
          </w:p>
        </w:tc>
        <w:tc>
          <w:tcPr>
            <w:tcW w:w="5140" w:type="dxa"/>
          </w:tcPr>
          <w:p w14:paraId="0CAED2A1" w14:textId="74C499E1" w:rsidR="00286324" w:rsidRPr="007F4127" w:rsidRDefault="00286324" w:rsidP="00C22120">
            <w:pPr>
              <w:pStyle w:val="BodyText"/>
              <w:spacing w:after="0"/>
              <w:jc w:val="center"/>
              <w:rPr>
                <w:b/>
                <w:sz w:val="16"/>
              </w:rPr>
            </w:pPr>
            <w:r>
              <w:rPr>
                <w:b/>
                <w:sz w:val="16"/>
              </w:rPr>
              <w:t>CQS</w:t>
            </w:r>
          </w:p>
        </w:tc>
      </w:tr>
      <w:tr w:rsidR="00482AB1" w:rsidRPr="007F4127" w14:paraId="7A8CFB7B" w14:textId="77777777" w:rsidTr="0036432C">
        <w:trPr>
          <w:cnfStyle w:val="000000100000" w:firstRow="0" w:lastRow="0" w:firstColumn="0" w:lastColumn="0" w:oddVBand="0" w:evenVBand="0" w:oddHBand="1" w:evenHBand="0" w:firstRowFirstColumn="0" w:firstRowLastColumn="0" w:lastRowFirstColumn="0" w:lastRowLastColumn="0"/>
          <w:trHeight w:val="202"/>
        </w:trPr>
        <w:tc>
          <w:tcPr>
            <w:tcW w:w="3109" w:type="dxa"/>
          </w:tcPr>
          <w:p w14:paraId="6598D8E3" w14:textId="77777777" w:rsidR="00286324" w:rsidRPr="007F4127" w:rsidRDefault="00286324" w:rsidP="00C22120">
            <w:pPr>
              <w:pStyle w:val="BodyText"/>
              <w:spacing w:after="0"/>
              <w:jc w:val="left"/>
              <w:rPr>
                <w:b/>
                <w:sz w:val="16"/>
              </w:rPr>
            </w:pPr>
            <w:r w:rsidRPr="007F4127">
              <w:rPr>
                <w:b/>
                <w:sz w:val="16"/>
              </w:rPr>
              <w:t>Fund name</w:t>
            </w:r>
          </w:p>
        </w:tc>
        <w:tc>
          <w:tcPr>
            <w:tcW w:w="5140" w:type="dxa"/>
          </w:tcPr>
          <w:p w14:paraId="44F2D7EF" w14:textId="68F69855" w:rsidR="00286324" w:rsidRDefault="00286324" w:rsidP="00C22120">
            <w:pPr>
              <w:pStyle w:val="BodyText"/>
              <w:spacing w:after="0"/>
              <w:jc w:val="center"/>
              <w:rPr>
                <w:sz w:val="16"/>
              </w:rPr>
            </w:pPr>
            <w:r w:rsidRPr="00286324">
              <w:rPr>
                <w:sz w:val="16"/>
              </w:rPr>
              <w:t>Dynamic Real Return Fund</w:t>
            </w:r>
          </w:p>
        </w:tc>
        <w:tc>
          <w:tcPr>
            <w:tcW w:w="5140" w:type="dxa"/>
          </w:tcPr>
          <w:p w14:paraId="39B9E464" w14:textId="63B8D5E7" w:rsidR="00286324" w:rsidRPr="007F4127" w:rsidRDefault="00286324" w:rsidP="00C22120">
            <w:pPr>
              <w:pStyle w:val="BodyText"/>
              <w:spacing w:after="0"/>
              <w:jc w:val="center"/>
              <w:rPr>
                <w:sz w:val="16"/>
              </w:rPr>
            </w:pPr>
            <w:r>
              <w:rPr>
                <w:sz w:val="16"/>
              </w:rPr>
              <w:t>Credit Multi Asset Fund</w:t>
            </w:r>
          </w:p>
        </w:tc>
      </w:tr>
      <w:tr w:rsidR="00482AB1" w:rsidRPr="007F4127" w14:paraId="5B2DB137" w14:textId="77777777" w:rsidTr="0036432C">
        <w:trPr>
          <w:cnfStyle w:val="000000010000" w:firstRow="0" w:lastRow="0" w:firstColumn="0" w:lastColumn="0" w:oddVBand="0" w:evenVBand="0" w:oddHBand="0" w:evenHBand="1" w:firstRowFirstColumn="0" w:firstRowLastColumn="0" w:lastRowFirstColumn="0" w:lastRowLastColumn="0"/>
          <w:trHeight w:val="820"/>
        </w:trPr>
        <w:tc>
          <w:tcPr>
            <w:tcW w:w="3109" w:type="dxa"/>
          </w:tcPr>
          <w:p w14:paraId="7D9AB777" w14:textId="52B01A8F" w:rsidR="00286324" w:rsidRDefault="00286324" w:rsidP="001919F9">
            <w:pPr>
              <w:pStyle w:val="BodyText"/>
              <w:spacing w:after="0"/>
              <w:jc w:val="left"/>
              <w:rPr>
                <w:b/>
                <w:sz w:val="16"/>
              </w:rPr>
            </w:pPr>
            <w:r>
              <w:rPr>
                <w:b/>
                <w:sz w:val="16"/>
              </w:rPr>
              <w:t>Number of</w:t>
            </w:r>
            <w:r w:rsidRPr="001D606F">
              <w:rPr>
                <w:b/>
                <w:sz w:val="16"/>
              </w:rPr>
              <w:t xml:space="preserve"> engagements undertaken on behalf of the holdings in this fund in the year</w:t>
            </w:r>
          </w:p>
        </w:tc>
        <w:tc>
          <w:tcPr>
            <w:tcW w:w="5140" w:type="dxa"/>
          </w:tcPr>
          <w:p w14:paraId="228D917F" w14:textId="5DA8F2F1" w:rsidR="00286324" w:rsidRDefault="009711A3" w:rsidP="00C22120">
            <w:pPr>
              <w:pStyle w:val="BodyText"/>
              <w:spacing w:after="0"/>
              <w:jc w:val="center"/>
              <w:rPr>
                <w:sz w:val="16"/>
              </w:rPr>
            </w:pPr>
            <w:r>
              <w:rPr>
                <w:sz w:val="16"/>
              </w:rPr>
              <w:t>This information was n</w:t>
            </w:r>
            <w:r w:rsidR="00286324">
              <w:rPr>
                <w:sz w:val="16"/>
              </w:rPr>
              <w:t>ot provided</w:t>
            </w:r>
            <w:r>
              <w:rPr>
                <w:sz w:val="16"/>
              </w:rPr>
              <w:t xml:space="preserve"> at a fund level</w:t>
            </w:r>
          </w:p>
        </w:tc>
        <w:tc>
          <w:tcPr>
            <w:tcW w:w="5140" w:type="dxa"/>
          </w:tcPr>
          <w:p w14:paraId="68AECDA4" w14:textId="6F245497" w:rsidR="00286324" w:rsidRPr="007F4127" w:rsidRDefault="00286324" w:rsidP="00C22120">
            <w:pPr>
              <w:pStyle w:val="BodyText"/>
              <w:spacing w:after="0"/>
              <w:jc w:val="center"/>
              <w:rPr>
                <w:sz w:val="16"/>
              </w:rPr>
            </w:pPr>
            <w:r>
              <w:rPr>
                <w:sz w:val="16"/>
              </w:rPr>
              <w:t>1</w:t>
            </w:r>
            <w:r w:rsidR="007B6258">
              <w:rPr>
                <w:sz w:val="16"/>
              </w:rPr>
              <w:t>35</w:t>
            </w:r>
          </w:p>
        </w:tc>
      </w:tr>
      <w:tr w:rsidR="00482AB1" w:rsidRPr="007F4127" w14:paraId="623AD673" w14:textId="77777777" w:rsidTr="0036432C">
        <w:trPr>
          <w:cnfStyle w:val="000000100000" w:firstRow="0" w:lastRow="0" w:firstColumn="0" w:lastColumn="0" w:oddVBand="0" w:evenVBand="0" w:oddHBand="1" w:evenHBand="0" w:firstRowFirstColumn="0" w:firstRowLastColumn="0" w:lastRowFirstColumn="0" w:lastRowLastColumn="0"/>
          <w:trHeight w:val="608"/>
        </w:trPr>
        <w:tc>
          <w:tcPr>
            <w:tcW w:w="3109" w:type="dxa"/>
          </w:tcPr>
          <w:p w14:paraId="40C44B16" w14:textId="3FA98295" w:rsidR="00286324" w:rsidRDefault="00286324" w:rsidP="001919F9">
            <w:pPr>
              <w:pStyle w:val="BodyText"/>
              <w:spacing w:after="0"/>
              <w:jc w:val="left"/>
              <w:rPr>
                <w:b/>
                <w:sz w:val="16"/>
              </w:rPr>
            </w:pPr>
            <w:r>
              <w:rPr>
                <w:b/>
                <w:sz w:val="16"/>
              </w:rPr>
              <w:t xml:space="preserve">Number of </w:t>
            </w:r>
            <w:r w:rsidRPr="001D606F">
              <w:rPr>
                <w:b/>
                <w:sz w:val="16"/>
              </w:rPr>
              <w:t>engagements underta</w:t>
            </w:r>
            <w:r>
              <w:rPr>
                <w:b/>
                <w:sz w:val="16"/>
              </w:rPr>
              <w:t>ken at a firm level in the year</w:t>
            </w:r>
          </w:p>
        </w:tc>
        <w:tc>
          <w:tcPr>
            <w:tcW w:w="5140" w:type="dxa"/>
          </w:tcPr>
          <w:p w14:paraId="01445ADA" w14:textId="58AB1812" w:rsidR="00286324" w:rsidRDefault="009711A3" w:rsidP="00C22120">
            <w:pPr>
              <w:pStyle w:val="BodyText"/>
              <w:spacing w:after="0"/>
              <w:jc w:val="center"/>
              <w:rPr>
                <w:sz w:val="16"/>
              </w:rPr>
            </w:pPr>
            <w:r>
              <w:rPr>
                <w:sz w:val="16"/>
              </w:rPr>
              <w:t>238</w:t>
            </w:r>
          </w:p>
        </w:tc>
        <w:tc>
          <w:tcPr>
            <w:tcW w:w="5140" w:type="dxa"/>
          </w:tcPr>
          <w:p w14:paraId="126495C4" w14:textId="0A8CA218" w:rsidR="00286324" w:rsidRPr="007F4127" w:rsidRDefault="009711A3" w:rsidP="00C22120">
            <w:pPr>
              <w:pStyle w:val="BodyText"/>
              <w:spacing w:after="0"/>
              <w:jc w:val="center"/>
              <w:rPr>
                <w:sz w:val="16"/>
              </w:rPr>
            </w:pPr>
            <w:r>
              <w:rPr>
                <w:sz w:val="16"/>
              </w:rPr>
              <w:t>153</w:t>
            </w:r>
          </w:p>
        </w:tc>
      </w:tr>
      <w:tr w:rsidR="00482AB1" w:rsidRPr="007F4127" w14:paraId="42F6EBB6" w14:textId="77777777" w:rsidTr="0036432C">
        <w:trPr>
          <w:cnfStyle w:val="000000010000" w:firstRow="0" w:lastRow="0" w:firstColumn="0" w:lastColumn="0" w:oddVBand="0" w:evenVBand="0" w:oddHBand="0" w:evenHBand="1" w:firstRowFirstColumn="0" w:firstRowLastColumn="0" w:lastRowFirstColumn="0" w:lastRowLastColumn="0"/>
          <w:trHeight w:val="1641"/>
        </w:trPr>
        <w:tc>
          <w:tcPr>
            <w:tcW w:w="3109" w:type="dxa"/>
          </w:tcPr>
          <w:p w14:paraId="193B65D7" w14:textId="057B06BB" w:rsidR="00286324" w:rsidRDefault="00286324" w:rsidP="001919F9">
            <w:pPr>
              <w:pStyle w:val="BodyText"/>
              <w:spacing w:after="0"/>
              <w:jc w:val="left"/>
              <w:rPr>
                <w:b/>
                <w:sz w:val="16"/>
              </w:rPr>
            </w:pPr>
            <w:r>
              <w:rPr>
                <w:b/>
                <w:sz w:val="16"/>
              </w:rPr>
              <w:t>E</w:t>
            </w:r>
            <w:r w:rsidRPr="001D606F">
              <w:rPr>
                <w:b/>
                <w:sz w:val="16"/>
              </w:rPr>
              <w:t xml:space="preserve">xamples of engagements undertaken with holdings in </w:t>
            </w:r>
            <w:r>
              <w:rPr>
                <w:b/>
                <w:sz w:val="16"/>
              </w:rPr>
              <w:t>the</w:t>
            </w:r>
            <w:r w:rsidRPr="001D606F">
              <w:rPr>
                <w:b/>
                <w:sz w:val="16"/>
              </w:rPr>
              <w:t xml:space="preserve"> fund</w:t>
            </w:r>
          </w:p>
        </w:tc>
        <w:tc>
          <w:tcPr>
            <w:tcW w:w="5140" w:type="dxa"/>
          </w:tcPr>
          <w:p w14:paraId="170DA355" w14:textId="65525E79" w:rsidR="005060E9" w:rsidRDefault="009711A3" w:rsidP="0036432C">
            <w:pPr>
              <w:pStyle w:val="BodyText"/>
              <w:jc w:val="center"/>
              <w:rPr>
                <w:bCs/>
                <w:sz w:val="16"/>
              </w:rPr>
            </w:pPr>
            <w:r>
              <w:rPr>
                <w:b/>
                <w:sz w:val="16"/>
              </w:rPr>
              <w:t>Exxon Mobil</w:t>
            </w:r>
            <w:r w:rsidR="00605826">
              <w:rPr>
                <w:b/>
                <w:sz w:val="16"/>
              </w:rPr>
              <w:t xml:space="preserve"> – </w:t>
            </w:r>
            <w:r w:rsidR="009922F7">
              <w:rPr>
                <w:bCs/>
                <w:sz w:val="16"/>
              </w:rPr>
              <w:t>The manager engaged in an</w:t>
            </w:r>
            <w:r w:rsidR="00605826">
              <w:rPr>
                <w:bCs/>
                <w:sz w:val="16"/>
              </w:rPr>
              <w:t xml:space="preserve"> activist campaign </w:t>
            </w:r>
            <w:r w:rsidR="005060E9">
              <w:rPr>
                <w:bCs/>
                <w:sz w:val="16"/>
              </w:rPr>
              <w:t xml:space="preserve">which sought to seat four nominees in a contested election of directors. The change in directors </w:t>
            </w:r>
            <w:r w:rsidR="00191184">
              <w:rPr>
                <w:bCs/>
                <w:sz w:val="16"/>
              </w:rPr>
              <w:t>sought</w:t>
            </w:r>
            <w:r w:rsidR="00605826">
              <w:rPr>
                <w:bCs/>
                <w:sz w:val="16"/>
              </w:rPr>
              <w:t xml:space="preserve"> to change the company’s business strategy and increase focus on a low carbon future.</w:t>
            </w:r>
            <w:r w:rsidR="00191184">
              <w:t xml:space="preserve"> </w:t>
            </w:r>
            <w:proofErr w:type="gramStart"/>
            <w:r w:rsidR="00191184" w:rsidRPr="00191184">
              <w:rPr>
                <w:bCs/>
                <w:sz w:val="16"/>
              </w:rPr>
              <w:t>A majority</w:t>
            </w:r>
            <w:r w:rsidR="00191184">
              <w:rPr>
                <w:bCs/>
                <w:sz w:val="16"/>
              </w:rPr>
              <w:t xml:space="preserve"> </w:t>
            </w:r>
            <w:r w:rsidR="00191184" w:rsidRPr="00191184">
              <w:rPr>
                <w:bCs/>
                <w:sz w:val="16"/>
              </w:rPr>
              <w:t>of</w:t>
            </w:r>
            <w:proofErr w:type="gramEnd"/>
            <w:r w:rsidR="00191184" w:rsidRPr="00191184">
              <w:rPr>
                <w:bCs/>
                <w:sz w:val="16"/>
              </w:rPr>
              <w:t xml:space="preserve"> investors supported three of</w:t>
            </w:r>
            <w:r w:rsidR="00191184">
              <w:rPr>
                <w:bCs/>
                <w:sz w:val="16"/>
              </w:rPr>
              <w:t xml:space="preserve"> </w:t>
            </w:r>
            <w:r w:rsidR="00191184" w:rsidRPr="00191184">
              <w:rPr>
                <w:bCs/>
                <w:sz w:val="16"/>
              </w:rPr>
              <w:t>the four dissident nominees and</w:t>
            </w:r>
            <w:r w:rsidR="00191184">
              <w:rPr>
                <w:bCs/>
                <w:sz w:val="16"/>
              </w:rPr>
              <w:t xml:space="preserve"> </w:t>
            </w:r>
            <w:r w:rsidR="00191184" w:rsidRPr="00191184">
              <w:rPr>
                <w:bCs/>
                <w:sz w:val="16"/>
              </w:rPr>
              <w:t>supplanted an equal number of</w:t>
            </w:r>
            <w:r w:rsidR="00191184">
              <w:rPr>
                <w:bCs/>
                <w:sz w:val="16"/>
              </w:rPr>
              <w:t xml:space="preserve"> </w:t>
            </w:r>
            <w:r w:rsidR="00191184" w:rsidRPr="00191184">
              <w:rPr>
                <w:bCs/>
                <w:sz w:val="16"/>
              </w:rPr>
              <w:t>incumbent directors on the company’s</w:t>
            </w:r>
            <w:r w:rsidR="00191184">
              <w:rPr>
                <w:bCs/>
                <w:sz w:val="16"/>
              </w:rPr>
              <w:t xml:space="preserve"> </w:t>
            </w:r>
            <w:r w:rsidR="00191184" w:rsidRPr="00191184">
              <w:rPr>
                <w:bCs/>
                <w:sz w:val="16"/>
              </w:rPr>
              <w:t>board, thus materially remaking the</w:t>
            </w:r>
            <w:r w:rsidR="00191184">
              <w:rPr>
                <w:bCs/>
                <w:sz w:val="16"/>
              </w:rPr>
              <w:t xml:space="preserve"> </w:t>
            </w:r>
            <w:r w:rsidR="00191184" w:rsidRPr="00191184">
              <w:rPr>
                <w:bCs/>
                <w:sz w:val="16"/>
              </w:rPr>
              <w:t>board’s composition and</w:t>
            </w:r>
            <w:r w:rsidR="00191184">
              <w:rPr>
                <w:bCs/>
                <w:sz w:val="16"/>
              </w:rPr>
              <w:t xml:space="preserve"> </w:t>
            </w:r>
            <w:r w:rsidR="00191184" w:rsidRPr="00191184">
              <w:rPr>
                <w:bCs/>
                <w:sz w:val="16"/>
              </w:rPr>
              <w:t>positioning the company for a new future.</w:t>
            </w:r>
            <w:r w:rsidR="00605826">
              <w:rPr>
                <w:bCs/>
                <w:sz w:val="16"/>
              </w:rPr>
              <w:t xml:space="preserve"> </w:t>
            </w:r>
          </w:p>
          <w:p w14:paraId="22DB7FDB" w14:textId="77777777" w:rsidR="005060E9" w:rsidRDefault="005060E9">
            <w:pPr>
              <w:pStyle w:val="BodyText"/>
              <w:spacing w:after="0"/>
              <w:jc w:val="center"/>
              <w:rPr>
                <w:b/>
                <w:sz w:val="16"/>
              </w:rPr>
            </w:pPr>
          </w:p>
          <w:p w14:paraId="5223F30C" w14:textId="12CB56E3" w:rsidR="00286324" w:rsidRPr="000C6A19" w:rsidRDefault="00605826" w:rsidP="0036432C">
            <w:pPr>
              <w:pStyle w:val="BodyText"/>
              <w:jc w:val="center"/>
              <w:rPr>
                <w:b/>
                <w:sz w:val="16"/>
              </w:rPr>
            </w:pPr>
            <w:r>
              <w:rPr>
                <w:b/>
                <w:sz w:val="16"/>
              </w:rPr>
              <w:t xml:space="preserve">Tesco Plc – </w:t>
            </w:r>
            <w:r>
              <w:rPr>
                <w:bCs/>
                <w:sz w:val="16"/>
              </w:rPr>
              <w:t xml:space="preserve">Engage with company’s sustainability strategy with a focus on </w:t>
            </w:r>
            <w:r w:rsidR="00191184">
              <w:rPr>
                <w:bCs/>
                <w:sz w:val="16"/>
              </w:rPr>
              <w:t xml:space="preserve">understanding the strategy relating to </w:t>
            </w:r>
            <w:r>
              <w:rPr>
                <w:bCs/>
                <w:sz w:val="16"/>
              </w:rPr>
              <w:t xml:space="preserve">nutrition </w:t>
            </w:r>
            <w:proofErr w:type="gramStart"/>
            <w:r>
              <w:rPr>
                <w:bCs/>
                <w:sz w:val="16"/>
              </w:rPr>
              <w:t>and  plant</w:t>
            </w:r>
            <w:proofErr w:type="gramEnd"/>
            <w:r>
              <w:rPr>
                <w:bCs/>
                <w:sz w:val="16"/>
              </w:rPr>
              <w:t xml:space="preserve">-based proteins. </w:t>
            </w:r>
            <w:r w:rsidR="00191184">
              <w:rPr>
                <w:bCs/>
                <w:sz w:val="16"/>
              </w:rPr>
              <w:t>T</w:t>
            </w:r>
            <w:r w:rsidR="003A4132">
              <w:rPr>
                <w:bCs/>
                <w:sz w:val="16"/>
              </w:rPr>
              <w:t>h</w:t>
            </w:r>
            <w:r w:rsidR="00191184">
              <w:rPr>
                <w:bCs/>
                <w:sz w:val="16"/>
              </w:rPr>
              <w:t xml:space="preserve">e manager found that the company had made </w:t>
            </w:r>
            <w:r w:rsidR="00191184" w:rsidRPr="00191184">
              <w:rPr>
                <w:bCs/>
                <w:sz w:val="16"/>
              </w:rPr>
              <w:t>a step up in focus on consumer health and based on current disclosures appears ambitious relative to peers, which may position the company well as the UK’s obesity strategy is implemented and as consumer trends evolve post-pandemic.</w:t>
            </w:r>
          </w:p>
        </w:tc>
        <w:tc>
          <w:tcPr>
            <w:tcW w:w="5140" w:type="dxa"/>
          </w:tcPr>
          <w:p w14:paraId="2812F2D3" w14:textId="5076E6F4" w:rsidR="007B6258" w:rsidRDefault="007B6258" w:rsidP="007B6258">
            <w:pPr>
              <w:pStyle w:val="BodyText"/>
              <w:spacing w:after="0"/>
              <w:jc w:val="center"/>
              <w:rPr>
                <w:bCs/>
                <w:sz w:val="16"/>
              </w:rPr>
            </w:pPr>
            <w:r>
              <w:rPr>
                <w:b/>
                <w:sz w:val="16"/>
              </w:rPr>
              <w:t xml:space="preserve">Jaguar Land Rover – </w:t>
            </w:r>
            <w:r w:rsidR="00325A8E" w:rsidRPr="0036432C">
              <w:rPr>
                <w:bCs/>
                <w:sz w:val="16"/>
              </w:rPr>
              <w:t>Engaged</w:t>
            </w:r>
            <w:r w:rsidR="00325A8E">
              <w:rPr>
                <w:bCs/>
                <w:sz w:val="16"/>
              </w:rPr>
              <w:t xml:space="preserve"> with the company more widely on ESG matters. The manager e</w:t>
            </w:r>
            <w:r w:rsidRPr="00906233">
              <w:rPr>
                <w:bCs/>
                <w:sz w:val="16"/>
              </w:rPr>
              <w:t>ncouraged increasing transparency, communication and disclosures regarding ESG issues.</w:t>
            </w:r>
            <w:r w:rsidR="00325A8E">
              <w:rPr>
                <w:bCs/>
                <w:sz w:val="16"/>
              </w:rPr>
              <w:t xml:space="preserve"> </w:t>
            </w:r>
            <w:proofErr w:type="gramStart"/>
            <w:r w:rsidR="00325A8E">
              <w:rPr>
                <w:bCs/>
                <w:sz w:val="16"/>
              </w:rPr>
              <w:t>In particular the</w:t>
            </w:r>
            <w:proofErr w:type="gramEnd"/>
            <w:r w:rsidR="00325A8E">
              <w:rPr>
                <w:bCs/>
                <w:sz w:val="16"/>
              </w:rPr>
              <w:t xml:space="preserve"> manager pushed for a timeline on disclosing more emission data, particularly Scope 3.</w:t>
            </w:r>
          </w:p>
          <w:p w14:paraId="3191F473" w14:textId="77777777" w:rsidR="00325A8E" w:rsidRDefault="00325A8E" w:rsidP="007B6258">
            <w:pPr>
              <w:pStyle w:val="BodyText"/>
              <w:spacing w:after="0"/>
              <w:jc w:val="center"/>
              <w:rPr>
                <w:sz w:val="16"/>
              </w:rPr>
            </w:pPr>
          </w:p>
          <w:p w14:paraId="0163EA02" w14:textId="68A73B30" w:rsidR="00E350DA" w:rsidRDefault="004463CE" w:rsidP="007B6258">
            <w:pPr>
              <w:pStyle w:val="BodyText"/>
              <w:spacing w:after="0"/>
              <w:jc w:val="center"/>
              <w:rPr>
                <w:sz w:val="16"/>
              </w:rPr>
            </w:pPr>
            <w:proofErr w:type="spellStart"/>
            <w:r>
              <w:rPr>
                <w:b/>
                <w:bCs/>
                <w:sz w:val="16"/>
              </w:rPr>
              <w:t>e</w:t>
            </w:r>
            <w:r w:rsidR="007B6258">
              <w:rPr>
                <w:b/>
                <w:bCs/>
                <w:sz w:val="16"/>
              </w:rPr>
              <w:t>G</w:t>
            </w:r>
            <w:proofErr w:type="spellEnd"/>
            <w:r w:rsidR="007B6258">
              <w:rPr>
                <w:b/>
                <w:bCs/>
                <w:sz w:val="16"/>
              </w:rPr>
              <w:t xml:space="preserve"> Group </w:t>
            </w:r>
            <w:r w:rsidR="009711A3">
              <w:rPr>
                <w:b/>
                <w:bCs/>
                <w:sz w:val="16"/>
              </w:rPr>
              <w:t>–</w:t>
            </w:r>
            <w:r w:rsidR="007B6258">
              <w:rPr>
                <w:b/>
                <w:bCs/>
                <w:sz w:val="16"/>
              </w:rPr>
              <w:t xml:space="preserve"> </w:t>
            </w:r>
            <w:r w:rsidRPr="0036432C">
              <w:rPr>
                <w:sz w:val="16"/>
              </w:rPr>
              <w:t>The manager engaged with the company on multiple different issues spanning both governance and environmental factors</w:t>
            </w:r>
            <w:r>
              <w:rPr>
                <w:sz w:val="16"/>
              </w:rPr>
              <w:t xml:space="preserve"> and have met regularly with senior management </w:t>
            </w:r>
            <w:r w:rsidR="00E350DA">
              <w:rPr>
                <w:sz w:val="16"/>
              </w:rPr>
              <w:t>since 2020. The manager has seen promising developments particularly around governance and has increased exposure as a result.</w:t>
            </w:r>
          </w:p>
          <w:p w14:paraId="35AB7882" w14:textId="77777777" w:rsidR="00E350DA" w:rsidRDefault="00E350DA" w:rsidP="007B6258">
            <w:pPr>
              <w:pStyle w:val="BodyText"/>
              <w:spacing w:after="0"/>
              <w:jc w:val="center"/>
              <w:rPr>
                <w:sz w:val="16"/>
              </w:rPr>
            </w:pPr>
            <w:proofErr w:type="gramStart"/>
            <w:r>
              <w:rPr>
                <w:sz w:val="16"/>
              </w:rPr>
              <w:t>e.g.</w:t>
            </w:r>
            <w:proofErr w:type="gramEnd"/>
            <w:r>
              <w:rPr>
                <w:sz w:val="16"/>
              </w:rPr>
              <w:t xml:space="preserve"> they</w:t>
            </w:r>
            <w:r w:rsidRPr="00E350DA">
              <w:rPr>
                <w:sz w:val="16"/>
              </w:rPr>
              <w:t xml:space="preserve"> now operate the largest network of EV charging sites across Europe. </w:t>
            </w:r>
            <w:r>
              <w:rPr>
                <w:sz w:val="16"/>
              </w:rPr>
              <w:t>The EV transition is led by the</w:t>
            </w:r>
            <w:r w:rsidRPr="00E350DA">
              <w:rPr>
                <w:sz w:val="16"/>
              </w:rPr>
              <w:t xml:space="preserve"> Head of </w:t>
            </w:r>
            <w:proofErr w:type="gramStart"/>
            <w:r w:rsidRPr="00E350DA">
              <w:rPr>
                <w:sz w:val="16"/>
              </w:rPr>
              <w:t>ESG</w:t>
            </w:r>
            <w:proofErr w:type="gramEnd"/>
            <w:r>
              <w:rPr>
                <w:sz w:val="16"/>
              </w:rPr>
              <w:t xml:space="preserve"> </w:t>
            </w:r>
            <w:r w:rsidRPr="00E350DA">
              <w:rPr>
                <w:sz w:val="16"/>
              </w:rPr>
              <w:t xml:space="preserve">and </w:t>
            </w:r>
            <w:r>
              <w:rPr>
                <w:sz w:val="16"/>
              </w:rPr>
              <w:t xml:space="preserve">they </w:t>
            </w:r>
            <w:r w:rsidRPr="00E350DA">
              <w:rPr>
                <w:sz w:val="16"/>
              </w:rPr>
              <w:t xml:space="preserve">are looking to recruit </w:t>
            </w:r>
            <w:r>
              <w:rPr>
                <w:sz w:val="16"/>
              </w:rPr>
              <w:t xml:space="preserve">further </w:t>
            </w:r>
            <w:r w:rsidRPr="00E350DA">
              <w:rPr>
                <w:sz w:val="16"/>
              </w:rPr>
              <w:t xml:space="preserve">into this </w:t>
            </w:r>
            <w:r>
              <w:rPr>
                <w:sz w:val="16"/>
              </w:rPr>
              <w:t xml:space="preserve">ESG </w:t>
            </w:r>
            <w:r w:rsidRPr="00E350DA">
              <w:rPr>
                <w:sz w:val="16"/>
              </w:rPr>
              <w:t xml:space="preserve">team. </w:t>
            </w:r>
          </w:p>
          <w:p w14:paraId="2C97AEA0" w14:textId="0289FEF9" w:rsidR="00286324" w:rsidRPr="007F4127" w:rsidRDefault="00E350DA" w:rsidP="007B6258">
            <w:pPr>
              <w:pStyle w:val="BodyText"/>
              <w:spacing w:after="0"/>
              <w:jc w:val="center"/>
              <w:rPr>
                <w:sz w:val="16"/>
              </w:rPr>
            </w:pPr>
            <w:r w:rsidRPr="00E350DA">
              <w:rPr>
                <w:sz w:val="16"/>
              </w:rPr>
              <w:t xml:space="preserve">This year they plan to link executive remuneration to ESG targets. They will publish scope 1, 2 and 3 emissions for the Group later this year </w:t>
            </w:r>
            <w:proofErr w:type="gramStart"/>
            <w:r w:rsidRPr="00E350DA">
              <w:rPr>
                <w:sz w:val="16"/>
              </w:rPr>
              <w:t>and also</w:t>
            </w:r>
            <w:proofErr w:type="gramEnd"/>
            <w:r w:rsidRPr="00E350DA">
              <w:rPr>
                <w:sz w:val="16"/>
              </w:rPr>
              <w:t xml:space="preserve"> expect to set scope 1 and 2 decarbonisation targets.</w:t>
            </w:r>
            <w:r w:rsidRPr="00E350DA" w:rsidDel="00E350DA">
              <w:rPr>
                <w:sz w:val="16"/>
              </w:rPr>
              <w:t xml:space="preserve"> </w:t>
            </w:r>
          </w:p>
        </w:tc>
      </w:tr>
    </w:tbl>
    <w:p w14:paraId="5FAC18EE" w14:textId="59E8CF2B" w:rsidR="007F4127" w:rsidRPr="005A697E" w:rsidRDefault="007F4127" w:rsidP="006054C9">
      <w:pPr>
        <w:pStyle w:val="Heading2"/>
        <w:rPr>
          <w:b/>
        </w:rPr>
      </w:pPr>
    </w:p>
    <w:sectPr w:rsidR="007F4127" w:rsidRPr="005A697E" w:rsidSect="0036432C">
      <w:pgSz w:w="16838" w:h="11906" w:orient="landscape"/>
      <w:pgMar w:top="1020" w:right="2268" w:bottom="10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AD1E" w14:textId="77777777" w:rsidR="00C22120" w:rsidRDefault="00C22120" w:rsidP="00615554">
      <w:r>
        <w:separator/>
      </w:r>
    </w:p>
  </w:endnote>
  <w:endnote w:type="continuationSeparator" w:id="0">
    <w:p w14:paraId="1714E1B4" w14:textId="77777777" w:rsidR="00C22120" w:rsidRDefault="00C22120" w:rsidP="0061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0E2D" w14:textId="77777777" w:rsidR="00615554" w:rsidRDefault="00615554" w:rsidP="00615554">
    <w:r w:rsidRPr="004F015E">
      <w:rPr>
        <w:noProof/>
        <w:color w:val="797979"/>
        <w:sz w:val="13"/>
        <w:szCs w:val="13"/>
        <w:lang w:val="en-GB" w:eastAsia="en-GB" w:bidi="ar-SA"/>
      </w:rPr>
      <mc:AlternateContent>
        <mc:Choice Requires="wps">
          <w:drawing>
            <wp:anchor distT="45720" distB="45720" distL="114300" distR="114300" simplePos="0" relativeHeight="251656704" behindDoc="0" locked="0" layoutInCell="1" allowOverlap="1" wp14:anchorId="6CC2D6FE" wp14:editId="09BEC26A">
              <wp:simplePos x="0" y="0"/>
              <wp:positionH relativeFrom="margin">
                <wp:align>right</wp:align>
              </wp:positionH>
              <wp:positionV relativeFrom="paragraph">
                <wp:posOffset>5080</wp:posOffset>
              </wp:positionV>
              <wp:extent cx="3768090" cy="125095"/>
              <wp:effectExtent l="0" t="0" r="381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25095"/>
                      </a:xfrm>
                      <a:prstGeom prst="rect">
                        <a:avLst/>
                      </a:prstGeom>
                      <a:solidFill>
                        <a:srgbClr val="FFFFFF"/>
                      </a:solidFill>
                      <a:ln w="9525">
                        <a:noFill/>
                        <a:miter lim="800000"/>
                        <a:headEnd/>
                        <a:tailEnd/>
                      </a:ln>
                    </wps:spPr>
                    <wps:txbx>
                      <w:txbxContent>
                        <w:p w14:paraId="3AFDED97" w14:textId="7524DDB5" w:rsidR="00615554" w:rsidRPr="002C1FBA" w:rsidRDefault="006054C9" w:rsidP="00615554">
                          <w:pPr>
                            <w:jc w:val="right"/>
                            <w:rPr>
                              <w:rFonts w:cs="Segoe UI"/>
                              <w:color w:val="797979"/>
                              <w:sz w:val="12"/>
                              <w:szCs w:val="12"/>
                            </w:rPr>
                          </w:pPr>
                          <w:sdt>
                            <w:sdtPr>
                              <w:rPr>
                                <w:sz w:val="12"/>
                                <w:szCs w:val="12"/>
                              </w:rPr>
                              <w:alias w:val="Client Name"/>
                              <w:tag w:val="Client Name"/>
                              <w:id w:val="1688403083"/>
                              <w:text/>
                            </w:sdtPr>
                            <w:sdtEndPr/>
                            <w:sdtContent>
                              <w:r w:rsidR="009A53B5" w:rsidRPr="009A53B5">
                                <w:rPr>
                                  <w:sz w:val="12"/>
                                  <w:szCs w:val="12"/>
                                </w:rPr>
                                <w:t xml:space="preserve"> Home-Grown C</w:t>
                              </w:r>
                              <w:r w:rsidR="00584C69">
                                <w:rPr>
                                  <w:sz w:val="12"/>
                                  <w:szCs w:val="12"/>
                                </w:rPr>
                                <w:t>ereals Authority Pension Plan</w:t>
                              </w:r>
                            </w:sdtContent>
                          </w:sdt>
                          <w:r w:rsidR="00615554" w:rsidRPr="002C1FBA">
                            <w:rPr>
                              <w:sz w:val="12"/>
                              <w:szCs w:val="12"/>
                            </w:rPr>
                            <w:t xml:space="preserve"> </w:t>
                          </w:r>
                          <w:r w:rsidR="00615554">
                            <w:rPr>
                              <w:sz w:val="12"/>
                              <w:szCs w:val="12"/>
                            </w:rPr>
                            <w:t xml:space="preserve"> </w:t>
                          </w:r>
                          <w:r w:rsidR="00615554" w:rsidRPr="002C1FBA">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1919F9">
                                <w:rPr>
                                  <w:sz w:val="12"/>
                                  <w:szCs w:val="12"/>
                                </w:rPr>
                                <w:t>Implementation Statement</w:t>
                              </w:r>
                            </w:sdtContent>
                          </w:sdt>
                          <w:r w:rsidR="00615554">
                            <w:rPr>
                              <w:sz w:val="12"/>
                              <w:szCs w:val="12"/>
                            </w:rPr>
                            <w:t xml:space="preserve">   </w:t>
                          </w:r>
                          <w:r w:rsidR="00615554" w:rsidRPr="002C1FBA">
                            <w:rPr>
                              <w:color w:val="009FE3"/>
                              <w:sz w:val="12"/>
                              <w:szCs w:val="12"/>
                            </w:rPr>
                            <w:t xml:space="preserve">| </w:t>
                          </w:r>
                          <w:r w:rsidR="00615554">
                            <w:rPr>
                              <w:sz w:val="12"/>
                              <w:szCs w:val="12"/>
                            </w:rPr>
                            <w:t xml:space="preserve"> </w:t>
                          </w:r>
                          <w:r w:rsidR="00615554" w:rsidRPr="002C1FBA">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2-06-01T00:00:00Z">
                                <w:dateFormat w:val="d MMMM yyyy"/>
                                <w:lid w:val="en-GB"/>
                                <w:storeMappedDataAs w:val="dateTime"/>
                                <w:calendar w:val="gregorian"/>
                              </w:date>
                            </w:sdtPr>
                            <w:sdtEndPr/>
                            <w:sdtContent>
                              <w:r w:rsidR="00D12534">
                                <w:rPr>
                                  <w:sz w:val="12"/>
                                  <w:szCs w:val="12"/>
                                  <w:lang w:val="en-GB"/>
                                </w:rPr>
                                <w:t>1 June 2022</w:t>
                              </w:r>
                            </w:sdtContent>
                          </w:sdt>
                        </w:p>
                        <w:p w14:paraId="3A908E00" w14:textId="77777777" w:rsidR="00615554" w:rsidRPr="002C1FBA" w:rsidRDefault="00615554" w:rsidP="00615554">
                          <w:pPr>
                            <w:jc w:val="right"/>
                            <w:rPr>
                              <w:rFonts w:cs="Segoe UI"/>
                              <w:color w:val="797979"/>
                              <w:sz w:val="12"/>
                              <w:szCs w:val="1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2D6FE" id="_x0000_t202" coordsize="21600,21600" o:spt="202" path="m,l,21600r21600,l21600,xe">
              <v:stroke joinstyle="miter"/>
              <v:path gradientshapeok="t" o:connecttype="rect"/>
            </v:shapetype>
            <v:shape id="Text Box 2" o:spid="_x0000_s1026" type="#_x0000_t202" style="position:absolute;margin-left:245.5pt;margin-top:.4pt;width:296.7pt;height:9.8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" stroked="f">
              <v:textbox inset="0,0,0,0">
                <w:txbxContent>
                  <w:p w14:paraId="3AFDED97" w14:textId="7524DDB5" w:rsidR="00615554" w:rsidRPr="002C1FBA" w:rsidRDefault="006054C9" w:rsidP="00615554">
                    <w:pPr>
                      <w:jc w:val="right"/>
                      <w:rPr>
                        <w:rFonts w:cs="Segoe UI"/>
                        <w:color w:val="797979"/>
                        <w:sz w:val="12"/>
                        <w:szCs w:val="12"/>
                      </w:rPr>
                    </w:pPr>
                    <w:sdt>
                      <w:sdtPr>
                        <w:rPr>
                          <w:sz w:val="12"/>
                          <w:szCs w:val="12"/>
                        </w:rPr>
                        <w:alias w:val="Client Name"/>
                        <w:tag w:val="Client Name"/>
                        <w:id w:val="1688403083"/>
                        <w:text/>
                      </w:sdtPr>
                      <w:sdtEndPr/>
                      <w:sdtContent>
                        <w:r w:rsidR="009A53B5" w:rsidRPr="009A53B5">
                          <w:rPr>
                            <w:sz w:val="12"/>
                            <w:szCs w:val="12"/>
                          </w:rPr>
                          <w:t xml:space="preserve"> Home-Grown C</w:t>
                        </w:r>
                        <w:r w:rsidR="00584C69">
                          <w:rPr>
                            <w:sz w:val="12"/>
                            <w:szCs w:val="12"/>
                          </w:rPr>
                          <w:t>ereals Authority Pension Plan</w:t>
                        </w:r>
                      </w:sdtContent>
                    </w:sdt>
                    <w:r w:rsidR="00615554" w:rsidRPr="002C1FBA">
                      <w:rPr>
                        <w:sz w:val="12"/>
                        <w:szCs w:val="12"/>
                      </w:rPr>
                      <w:t xml:space="preserve"> </w:t>
                    </w:r>
                    <w:r w:rsidR="00615554">
                      <w:rPr>
                        <w:sz w:val="12"/>
                        <w:szCs w:val="12"/>
                      </w:rPr>
                      <w:t xml:space="preserve"> </w:t>
                    </w:r>
                    <w:r w:rsidR="00615554" w:rsidRPr="002C1FBA">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1919F9">
                          <w:rPr>
                            <w:sz w:val="12"/>
                            <w:szCs w:val="12"/>
                          </w:rPr>
                          <w:t>Implementation Statement</w:t>
                        </w:r>
                      </w:sdtContent>
                    </w:sdt>
                    <w:r w:rsidR="00615554">
                      <w:rPr>
                        <w:sz w:val="12"/>
                        <w:szCs w:val="12"/>
                      </w:rPr>
                      <w:t xml:space="preserve">   </w:t>
                    </w:r>
                    <w:r w:rsidR="00615554" w:rsidRPr="002C1FBA">
                      <w:rPr>
                        <w:color w:val="009FE3"/>
                        <w:sz w:val="12"/>
                        <w:szCs w:val="12"/>
                      </w:rPr>
                      <w:t xml:space="preserve">| </w:t>
                    </w:r>
                    <w:r w:rsidR="00615554">
                      <w:rPr>
                        <w:sz w:val="12"/>
                        <w:szCs w:val="12"/>
                      </w:rPr>
                      <w:t xml:space="preserve"> </w:t>
                    </w:r>
                    <w:r w:rsidR="00615554" w:rsidRPr="002C1FBA">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2-06-01T00:00:00Z">
                          <w:dateFormat w:val="d MMMM yyyy"/>
                          <w:lid w:val="en-GB"/>
                          <w:storeMappedDataAs w:val="dateTime"/>
                          <w:calendar w:val="gregorian"/>
                        </w:date>
                      </w:sdtPr>
                      <w:sdtEndPr/>
                      <w:sdtContent>
                        <w:r w:rsidR="00D12534">
                          <w:rPr>
                            <w:sz w:val="12"/>
                            <w:szCs w:val="12"/>
                            <w:lang w:val="en-GB"/>
                          </w:rPr>
                          <w:t>1 June 2022</w:t>
                        </w:r>
                      </w:sdtContent>
                    </w:sdt>
                  </w:p>
                  <w:p w14:paraId="3A908E00" w14:textId="77777777" w:rsidR="00615554" w:rsidRPr="002C1FBA" w:rsidRDefault="00615554" w:rsidP="00615554">
                    <w:pPr>
                      <w:jc w:val="right"/>
                      <w:rPr>
                        <w:rFonts w:cs="Segoe UI"/>
                        <w:color w:val="797979"/>
                        <w:sz w:val="12"/>
                        <w:szCs w:val="12"/>
                      </w:rPr>
                    </w:pPr>
                  </w:p>
                </w:txbxContent>
              </v:textbox>
              <w10:wrap type="square" anchorx="margin"/>
            </v:shape>
          </w:pict>
        </mc:Fallback>
      </mc:AlternateContent>
    </w:r>
  </w:p>
  <w:p w14:paraId="28B8BAC7" w14:textId="6FF44326" w:rsidR="00615554" w:rsidRPr="00615554" w:rsidRDefault="00615554">
    <w:pPr>
      <w:pStyle w:val="Footer"/>
      <w:rPr>
        <w:sz w:val="13"/>
        <w:szCs w:val="13"/>
      </w:rPr>
    </w:pPr>
    <w:r w:rsidRPr="004F015E">
      <w:rPr>
        <w:noProof/>
        <w:color w:val="797979"/>
        <w:sz w:val="13"/>
        <w:szCs w:val="13"/>
        <w:lang w:eastAsia="en-GB"/>
      </w:rPr>
      <mc:AlternateContent>
        <mc:Choice Requires="wps">
          <w:drawing>
            <wp:anchor distT="45720" distB="45720" distL="114300" distR="114300" simplePos="0" relativeHeight="251657728" behindDoc="0" locked="0" layoutInCell="1" allowOverlap="1" wp14:anchorId="763524F6" wp14:editId="6FD7E401">
              <wp:simplePos x="0" y="0"/>
              <wp:positionH relativeFrom="margin">
                <wp:align>right</wp:align>
              </wp:positionH>
              <wp:positionV relativeFrom="paragraph">
                <wp:posOffset>-15240</wp:posOffset>
              </wp:positionV>
              <wp:extent cx="3768090" cy="1404620"/>
              <wp:effectExtent l="0" t="0" r="381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7D497DF0" w14:textId="41E8B564" w:rsidR="00615554" w:rsidRPr="00F05E01" w:rsidRDefault="00615554"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584C69">
                            <w:rPr>
                              <w:noProof/>
                              <w:sz w:val="12"/>
                              <w:szCs w:val="12"/>
                            </w:rPr>
                            <w:t>2</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584C69">
                            <w:rPr>
                              <w:noProof/>
                              <w:sz w:val="12"/>
                              <w:szCs w:val="12"/>
                            </w:rPr>
                            <w:t>4</w:t>
                          </w:r>
                          <w:r w:rsidRPr="00F05E01">
                            <w:rPr>
                              <w:noProof/>
                              <w:sz w:val="12"/>
                              <w:szCs w:val="12"/>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524F6" id="_x0000_s1027" type="#_x0000_t202" style="position:absolute;margin-left:245.5pt;margin-top:-1.2pt;width:296.7pt;height:110.6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" stroked="f">
              <v:textbox style="mso-fit-shape-to-text:t" inset="0,0,0,0">
                <w:txbxContent>
                  <w:p w14:paraId="7D497DF0" w14:textId="41E8B564" w:rsidR="00615554" w:rsidRPr="00F05E01" w:rsidRDefault="00615554"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584C69">
                      <w:rPr>
                        <w:noProof/>
                        <w:sz w:val="12"/>
                        <w:szCs w:val="12"/>
                      </w:rPr>
                      <w:t>2</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584C69">
                      <w:rPr>
                        <w:noProof/>
                        <w:sz w:val="12"/>
                        <w:szCs w:val="12"/>
                      </w:rPr>
                      <w:t>4</w:t>
                    </w:r>
                    <w:r w:rsidRPr="00F05E01">
                      <w:rPr>
                        <w:noProof/>
                        <w:sz w:val="12"/>
                        <w:szCs w:val="12"/>
                      </w:rPr>
                      <w:fldChar w:fldCharType="end"/>
                    </w:r>
                  </w:p>
                </w:txbxContent>
              </v:textbox>
              <w10:wrap type="square" anchorx="margin"/>
            </v:shape>
          </w:pict>
        </mc:Fallback>
      </mc:AlternateContent>
    </w:r>
    <w:r w:rsidRPr="004F015E">
      <w:rPr>
        <w:noProof/>
        <w:color w:val="797979"/>
        <w:sz w:val="13"/>
        <w:szCs w:val="13"/>
        <w:lang w:eastAsia="en-GB"/>
      </w:rPr>
      <mc:AlternateContent>
        <mc:Choice Requires="wps">
          <w:drawing>
            <wp:anchor distT="45720" distB="45720" distL="114300" distR="114300" simplePos="0" relativeHeight="251655680" behindDoc="0" locked="0" layoutInCell="1" allowOverlap="1" wp14:anchorId="4852F745" wp14:editId="31E4E41D">
              <wp:simplePos x="0" y="0"/>
              <wp:positionH relativeFrom="margin">
                <wp:posOffset>2540</wp:posOffset>
              </wp:positionH>
              <wp:positionV relativeFrom="paragraph">
                <wp:posOffset>-163195</wp:posOffset>
              </wp:positionV>
              <wp:extent cx="930909" cy="181609"/>
              <wp:effectExtent l="0" t="0" r="317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09" cy="181609"/>
                      </a:xfrm>
                      <a:prstGeom prst="rect">
                        <a:avLst/>
                      </a:prstGeom>
                      <a:solidFill>
                        <a:srgbClr val="FFFFFF"/>
                      </a:solidFill>
                      <a:ln w="9525">
                        <a:noFill/>
                        <a:miter lim="800000"/>
                        <a:headEnd/>
                        <a:tailEnd/>
                      </a:ln>
                    </wps:spPr>
                    <wps:txbx>
                      <w:txbxContent>
                        <w:p w14:paraId="234990FA" w14:textId="098C688B" w:rsidR="00615554" w:rsidRPr="00F05E01" w:rsidRDefault="001919F9" w:rsidP="00615554">
                          <w:pPr>
                            <w:rPr>
                              <w:rFonts w:cs="Segoe UI"/>
                              <w:sz w:val="12"/>
                              <w:szCs w:val="12"/>
                            </w:rPr>
                          </w:pPr>
                          <w:r>
                            <w:rPr>
                              <w:rFonts w:cs="Segoe UI"/>
                              <w:sz w:val="12"/>
                              <w:szCs w:val="12"/>
                            </w:rPr>
                            <w:t>Issue 1 – Version 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2F745" id="_x0000_s1028" type="#_x0000_t202" style="position:absolute;margin-left:.2pt;margin-top:-12.85pt;width:73.3pt;height:14.3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" stroked="f">
              <v:textbox style="mso-fit-shape-to-text:t" inset="0,0,0,0">
                <w:txbxContent>
                  <w:p w14:paraId="234990FA" w14:textId="098C688B" w:rsidR="00615554" w:rsidRPr="00F05E01" w:rsidRDefault="001919F9" w:rsidP="00615554">
                    <w:pPr>
                      <w:rPr>
                        <w:rFonts w:cs="Segoe UI"/>
                        <w:sz w:val="12"/>
                        <w:szCs w:val="12"/>
                      </w:rPr>
                    </w:pPr>
                    <w:r>
                      <w:rPr>
                        <w:rFonts w:cs="Segoe UI"/>
                        <w:sz w:val="12"/>
                        <w:szCs w:val="12"/>
                      </w:rPr>
                      <w:t>Issue 1 – Version 1</w:t>
                    </w:r>
                  </w:p>
                </w:txbxContent>
              </v:textbox>
              <w10:wrap type="square" anchorx="margin"/>
            </v:shape>
          </w:pict>
        </mc:Fallback>
      </mc:AlternateContent>
    </w:r>
    <w:sdt>
      <w:sdtPr>
        <w:rPr>
          <w:sz w:val="12"/>
          <w:szCs w:val="12"/>
        </w:rPr>
        <w:alias w:val="Document classification"/>
        <w:tag w:val="Document classification"/>
        <w:id w:val="-285582485"/>
        <w:showingPlcHdr/>
        <w:dropDownList>
          <w:listItem w:displayText="CONFIDENTIAL" w:value="CONFIDENTIAL"/>
          <w:listItem w:displayText="RESTRICTED" w:value="RESTRICTED"/>
          <w:listItem w:displayText="PUBLIC" w:value="PUBLIC"/>
          <w:listItem w:value="BLANK"/>
        </w:dropDownList>
      </w:sdtPr>
      <w:sdtEndPr/>
      <w:sdtContent>
        <w:r w:rsidR="001919F9">
          <w:rPr>
            <w:sz w:val="12"/>
            <w:szCs w:val="12"/>
          </w:rPr>
          <w:t xml:space="preserve">     </w:t>
        </w:r>
      </w:sdtContent>
    </w:sdt>
    <w:r>
      <w:rPr>
        <w:color w:val="797979"/>
        <w:sz w:val="12"/>
        <w:szCs w:val="12"/>
      </w:rPr>
      <w:t xml:space="preserve">                                                                                                                                                                                                                                                                </w:t>
    </w:r>
    <w:r w:rsidRPr="004F015E">
      <w:rPr>
        <w:noProof/>
        <w:sz w:val="13"/>
        <w:szCs w:val="13"/>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3403" w14:textId="77777777" w:rsidR="00C22120" w:rsidRDefault="00C22120" w:rsidP="00615554">
      <w:r>
        <w:separator/>
      </w:r>
    </w:p>
  </w:footnote>
  <w:footnote w:type="continuationSeparator" w:id="0">
    <w:p w14:paraId="65676128" w14:textId="77777777" w:rsidR="00C22120" w:rsidRDefault="00C22120" w:rsidP="0061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9593" w14:textId="423A61E4" w:rsidR="00615554" w:rsidRDefault="00615554">
    <w:pPr>
      <w:pStyle w:val="Header"/>
    </w:pPr>
    <w:r>
      <w:rPr>
        <w:noProof/>
        <w:lang w:eastAsia="en-GB"/>
      </w:rPr>
      <w:drawing>
        <wp:anchor distT="0" distB="0" distL="114300" distR="114300" simplePos="0" relativeHeight="251658752" behindDoc="0" locked="0" layoutInCell="1" allowOverlap="1" wp14:anchorId="10C64BE2" wp14:editId="2259DEBE">
          <wp:simplePos x="0" y="0"/>
          <wp:positionH relativeFrom="column">
            <wp:posOffset>0</wp:posOffset>
          </wp:positionH>
          <wp:positionV relativeFrom="paragraph">
            <wp:posOffset>13335</wp:posOffset>
          </wp:positionV>
          <wp:extent cx="1440000" cy="48508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85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DEB670"/>
    <w:lvl w:ilvl="0">
      <w:start w:val="1"/>
      <w:numFmt w:val="decimal"/>
      <w:pStyle w:val="ListNumber"/>
      <w:lvlText w:val="%1"/>
      <w:lvlJc w:val="left"/>
      <w:pPr>
        <w:tabs>
          <w:tab w:val="num" w:pos="360"/>
        </w:tabs>
        <w:ind w:left="360" w:hanging="360"/>
      </w:pPr>
      <w:rPr>
        <w:rFonts w:hint="default"/>
        <w:color w:val="009FE3" w:themeColor="background2"/>
      </w:rPr>
    </w:lvl>
  </w:abstractNum>
  <w:abstractNum w:abstractNumId="1" w15:restartNumberingAfterBreak="0">
    <w:nsid w:val="FFFFFF89"/>
    <w:multiLevelType w:val="singleLevel"/>
    <w:tmpl w:val="2492759C"/>
    <w:lvl w:ilvl="0">
      <w:start w:val="1"/>
      <w:numFmt w:val="bullet"/>
      <w:pStyle w:val="ListBullet"/>
      <w:lvlText w:val=""/>
      <w:lvlJc w:val="left"/>
      <w:pPr>
        <w:tabs>
          <w:tab w:val="num" w:pos="360"/>
        </w:tabs>
        <w:ind w:left="360" w:hanging="360"/>
      </w:pPr>
      <w:rPr>
        <w:rFonts w:ascii="Symbol" w:hAnsi="Symbol" w:hint="default"/>
        <w:color w:val="009FE3" w:themeColor="background2"/>
      </w:rPr>
    </w:lvl>
  </w:abstractNum>
  <w:abstractNum w:abstractNumId="2" w15:restartNumberingAfterBreak="0">
    <w:nsid w:val="0060124D"/>
    <w:multiLevelType w:val="hybridMultilevel"/>
    <w:tmpl w:val="8DA8CC18"/>
    <w:lvl w:ilvl="0" w:tplc="C3B6D684">
      <w:start w:val="1"/>
      <w:numFmt w:val="bullet"/>
      <w:lvlText w:val=""/>
      <w:lvlJc w:val="left"/>
      <w:pPr>
        <w:ind w:left="720" w:hanging="360"/>
      </w:pPr>
      <w:rPr>
        <w:rFonts w:ascii="Symbol" w:hAnsi="Symbol" w:hint="default"/>
        <w:color w:val="41C0F0" w:themeColor="accent1"/>
        <w:u w:color="68C0B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1069"/>
    <w:multiLevelType w:val="hybridMultilevel"/>
    <w:tmpl w:val="5F62B5A6"/>
    <w:lvl w:ilvl="0" w:tplc="F0548D8E">
      <w:start w:val="1"/>
      <w:numFmt w:val="bullet"/>
      <w:pStyle w:val="Lis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34E2D"/>
    <w:multiLevelType w:val="hybridMultilevel"/>
    <w:tmpl w:val="5A001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40509"/>
    <w:multiLevelType w:val="hybridMultilevel"/>
    <w:tmpl w:val="510821EE"/>
    <w:lvl w:ilvl="0" w:tplc="669E459E">
      <w:start w:val="1"/>
      <w:numFmt w:val="decimal"/>
      <w:pStyle w:val="AppendixHeading"/>
      <w:lvlText w:val="Appendix %1"/>
      <w:lvlJc w:val="left"/>
      <w:pPr>
        <w:ind w:left="360" w:hanging="360"/>
      </w:pPr>
      <w:rPr>
        <w:rFonts w:ascii="Arial Bold" w:cs="Times New Roman" w:hint="cs"/>
        <w:b/>
        <w:bCs w:val="0"/>
        <w:i w:val="0"/>
        <w:iCs w:val="0"/>
        <w:caps w:val="0"/>
        <w:smallCaps w:val="0"/>
        <w:strike w:val="0"/>
        <w:dstrike w:val="0"/>
        <w:noProof w:val="0"/>
        <w:vanish w:val="0"/>
        <w:color w:val="009FE3" w:themeColor="background2"/>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EAA335E"/>
    <w:multiLevelType w:val="hybridMultilevel"/>
    <w:tmpl w:val="6AB898F6"/>
    <w:lvl w:ilvl="0" w:tplc="B51C8EB2">
      <w:start w:val="1"/>
      <w:numFmt w:val="decimal"/>
      <w:pStyle w:val="NumberedList"/>
      <w:lvlText w:val="%1."/>
      <w:lvlJc w:val="left"/>
      <w:pPr>
        <w:ind w:left="720" w:hanging="360"/>
      </w:pPr>
      <w:rPr>
        <w:rFonts w:ascii="Segoe UI" w:hAnsi="Segoe UI" w:hint="default"/>
        <w:b w:val="0"/>
        <w:i w:val="0"/>
        <w:color w:val="009FE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E75FE"/>
    <w:multiLevelType w:val="hybridMultilevel"/>
    <w:tmpl w:val="C1241998"/>
    <w:lvl w:ilvl="0" w:tplc="410CCF7C">
      <w:start w:val="1"/>
      <w:numFmt w:val="bullet"/>
      <w:lvlText w:val="•"/>
      <w:lvlJc w:val="left"/>
      <w:pPr>
        <w:tabs>
          <w:tab w:val="num" w:pos="720"/>
        </w:tabs>
        <w:ind w:left="720" w:hanging="360"/>
      </w:pPr>
      <w:rPr>
        <w:rFonts w:ascii="Arial" w:hAnsi="Arial" w:hint="default"/>
      </w:rPr>
    </w:lvl>
    <w:lvl w:ilvl="1" w:tplc="6FA698B0">
      <w:start w:val="1"/>
      <w:numFmt w:val="bullet"/>
      <w:lvlText w:val="•"/>
      <w:lvlJc w:val="left"/>
      <w:pPr>
        <w:tabs>
          <w:tab w:val="num" w:pos="1440"/>
        </w:tabs>
        <w:ind w:left="1440" w:hanging="360"/>
      </w:pPr>
      <w:rPr>
        <w:rFonts w:ascii="Arial" w:hAnsi="Arial" w:hint="default"/>
      </w:rPr>
    </w:lvl>
    <w:lvl w:ilvl="2" w:tplc="275A2150" w:tentative="1">
      <w:start w:val="1"/>
      <w:numFmt w:val="bullet"/>
      <w:lvlText w:val="•"/>
      <w:lvlJc w:val="left"/>
      <w:pPr>
        <w:tabs>
          <w:tab w:val="num" w:pos="2160"/>
        </w:tabs>
        <w:ind w:left="2160" w:hanging="360"/>
      </w:pPr>
      <w:rPr>
        <w:rFonts w:ascii="Arial" w:hAnsi="Arial" w:hint="default"/>
      </w:rPr>
    </w:lvl>
    <w:lvl w:ilvl="3" w:tplc="3AF2DE00" w:tentative="1">
      <w:start w:val="1"/>
      <w:numFmt w:val="bullet"/>
      <w:lvlText w:val="•"/>
      <w:lvlJc w:val="left"/>
      <w:pPr>
        <w:tabs>
          <w:tab w:val="num" w:pos="2880"/>
        </w:tabs>
        <w:ind w:left="2880" w:hanging="360"/>
      </w:pPr>
      <w:rPr>
        <w:rFonts w:ascii="Arial" w:hAnsi="Arial" w:hint="default"/>
      </w:rPr>
    </w:lvl>
    <w:lvl w:ilvl="4" w:tplc="3D88D988" w:tentative="1">
      <w:start w:val="1"/>
      <w:numFmt w:val="bullet"/>
      <w:lvlText w:val="•"/>
      <w:lvlJc w:val="left"/>
      <w:pPr>
        <w:tabs>
          <w:tab w:val="num" w:pos="3600"/>
        </w:tabs>
        <w:ind w:left="3600" w:hanging="360"/>
      </w:pPr>
      <w:rPr>
        <w:rFonts w:ascii="Arial" w:hAnsi="Arial" w:hint="default"/>
      </w:rPr>
    </w:lvl>
    <w:lvl w:ilvl="5" w:tplc="CF4E6840" w:tentative="1">
      <w:start w:val="1"/>
      <w:numFmt w:val="bullet"/>
      <w:lvlText w:val="•"/>
      <w:lvlJc w:val="left"/>
      <w:pPr>
        <w:tabs>
          <w:tab w:val="num" w:pos="4320"/>
        </w:tabs>
        <w:ind w:left="4320" w:hanging="360"/>
      </w:pPr>
      <w:rPr>
        <w:rFonts w:ascii="Arial" w:hAnsi="Arial" w:hint="default"/>
      </w:rPr>
    </w:lvl>
    <w:lvl w:ilvl="6" w:tplc="BDE80BB2" w:tentative="1">
      <w:start w:val="1"/>
      <w:numFmt w:val="bullet"/>
      <w:lvlText w:val="•"/>
      <w:lvlJc w:val="left"/>
      <w:pPr>
        <w:tabs>
          <w:tab w:val="num" w:pos="5040"/>
        </w:tabs>
        <w:ind w:left="5040" w:hanging="360"/>
      </w:pPr>
      <w:rPr>
        <w:rFonts w:ascii="Arial" w:hAnsi="Arial" w:hint="default"/>
      </w:rPr>
    </w:lvl>
    <w:lvl w:ilvl="7" w:tplc="1B4488A4" w:tentative="1">
      <w:start w:val="1"/>
      <w:numFmt w:val="bullet"/>
      <w:lvlText w:val="•"/>
      <w:lvlJc w:val="left"/>
      <w:pPr>
        <w:tabs>
          <w:tab w:val="num" w:pos="5760"/>
        </w:tabs>
        <w:ind w:left="5760" w:hanging="360"/>
      </w:pPr>
      <w:rPr>
        <w:rFonts w:ascii="Arial" w:hAnsi="Arial" w:hint="default"/>
      </w:rPr>
    </w:lvl>
    <w:lvl w:ilvl="8" w:tplc="9552D2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F17E02"/>
    <w:multiLevelType w:val="hybridMultilevel"/>
    <w:tmpl w:val="518A973C"/>
    <w:lvl w:ilvl="0" w:tplc="0D26BCA0">
      <w:start w:val="1"/>
      <w:numFmt w:val="bullet"/>
      <w:lvlText w:val=""/>
      <w:lvlJc w:val="left"/>
      <w:pPr>
        <w:ind w:left="720" w:hanging="360"/>
      </w:pPr>
      <w:rPr>
        <w:rFonts w:ascii="Symbol" w:hAnsi="Symbol" w:hint="default"/>
        <w:color w:val="F687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C3506"/>
    <w:multiLevelType w:val="hybridMultilevel"/>
    <w:tmpl w:val="CF4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147186">
    <w:abstractNumId w:val="5"/>
  </w:num>
  <w:num w:numId="2" w16cid:durableId="311640424">
    <w:abstractNumId w:val="1"/>
  </w:num>
  <w:num w:numId="3" w16cid:durableId="222760267">
    <w:abstractNumId w:val="0"/>
  </w:num>
  <w:num w:numId="4" w16cid:durableId="726104847">
    <w:abstractNumId w:val="8"/>
  </w:num>
  <w:num w:numId="5" w16cid:durableId="431972412">
    <w:abstractNumId w:val="1"/>
  </w:num>
  <w:num w:numId="6" w16cid:durableId="359622160">
    <w:abstractNumId w:val="0"/>
  </w:num>
  <w:num w:numId="7" w16cid:durableId="397049273">
    <w:abstractNumId w:val="5"/>
  </w:num>
  <w:num w:numId="8" w16cid:durableId="10961373">
    <w:abstractNumId w:val="8"/>
  </w:num>
  <w:num w:numId="9" w16cid:durableId="885218049">
    <w:abstractNumId w:val="1"/>
  </w:num>
  <w:num w:numId="10" w16cid:durableId="1692879218">
    <w:abstractNumId w:val="0"/>
  </w:num>
  <w:num w:numId="11" w16cid:durableId="878518681">
    <w:abstractNumId w:val="5"/>
  </w:num>
  <w:num w:numId="12" w16cid:durableId="1906140267">
    <w:abstractNumId w:val="8"/>
  </w:num>
  <w:num w:numId="13" w16cid:durableId="1853758212">
    <w:abstractNumId w:val="1"/>
  </w:num>
  <w:num w:numId="14" w16cid:durableId="457991006">
    <w:abstractNumId w:val="0"/>
  </w:num>
  <w:num w:numId="15" w16cid:durableId="1152602736">
    <w:abstractNumId w:val="5"/>
  </w:num>
  <w:num w:numId="16" w16cid:durableId="451217069">
    <w:abstractNumId w:val="3"/>
  </w:num>
  <w:num w:numId="17" w16cid:durableId="443967004">
    <w:abstractNumId w:val="6"/>
  </w:num>
  <w:num w:numId="18" w16cid:durableId="2083678580">
    <w:abstractNumId w:val="4"/>
  </w:num>
  <w:num w:numId="19" w16cid:durableId="1437291349">
    <w:abstractNumId w:val="7"/>
  </w:num>
  <w:num w:numId="20" w16cid:durableId="1043598304">
    <w:abstractNumId w:val="9"/>
  </w:num>
  <w:num w:numId="21" w16cid:durableId="1687825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9F"/>
    <w:rsid w:val="000221F1"/>
    <w:rsid w:val="000615E9"/>
    <w:rsid w:val="000646F4"/>
    <w:rsid w:val="00074358"/>
    <w:rsid w:val="00090813"/>
    <w:rsid w:val="000940E7"/>
    <w:rsid w:val="000B39E9"/>
    <w:rsid w:val="000C6A19"/>
    <w:rsid w:val="000E2B96"/>
    <w:rsid w:val="00132608"/>
    <w:rsid w:val="00191184"/>
    <w:rsid w:val="001919F9"/>
    <w:rsid w:val="001A64A9"/>
    <w:rsid w:val="001D606F"/>
    <w:rsid w:val="00207A15"/>
    <w:rsid w:val="00226672"/>
    <w:rsid w:val="002479F2"/>
    <w:rsid w:val="002847E4"/>
    <w:rsid w:val="00286324"/>
    <w:rsid w:val="002B2947"/>
    <w:rsid w:val="002C5B0A"/>
    <w:rsid w:val="002D359D"/>
    <w:rsid w:val="003178AD"/>
    <w:rsid w:val="00325A8E"/>
    <w:rsid w:val="0036432C"/>
    <w:rsid w:val="0037543C"/>
    <w:rsid w:val="003A4132"/>
    <w:rsid w:val="003C11BE"/>
    <w:rsid w:val="003C1958"/>
    <w:rsid w:val="003C2072"/>
    <w:rsid w:val="003E4338"/>
    <w:rsid w:val="00441051"/>
    <w:rsid w:val="004463CE"/>
    <w:rsid w:val="0046306A"/>
    <w:rsid w:val="00476225"/>
    <w:rsid w:val="00482AB1"/>
    <w:rsid w:val="004A3ADE"/>
    <w:rsid w:val="004B46FD"/>
    <w:rsid w:val="004B57B9"/>
    <w:rsid w:val="004C20B1"/>
    <w:rsid w:val="004D69BA"/>
    <w:rsid w:val="004E3741"/>
    <w:rsid w:val="004E39D5"/>
    <w:rsid w:val="005060E9"/>
    <w:rsid w:val="005211F5"/>
    <w:rsid w:val="00530894"/>
    <w:rsid w:val="005414B9"/>
    <w:rsid w:val="00561604"/>
    <w:rsid w:val="00584C69"/>
    <w:rsid w:val="005A697E"/>
    <w:rsid w:val="005F5026"/>
    <w:rsid w:val="006054C9"/>
    <w:rsid w:val="00605826"/>
    <w:rsid w:val="00611A42"/>
    <w:rsid w:val="00615554"/>
    <w:rsid w:val="00637440"/>
    <w:rsid w:val="006520A2"/>
    <w:rsid w:val="00663A37"/>
    <w:rsid w:val="0067576B"/>
    <w:rsid w:val="00680D7B"/>
    <w:rsid w:val="00740E4E"/>
    <w:rsid w:val="007662CC"/>
    <w:rsid w:val="007706BD"/>
    <w:rsid w:val="007710EB"/>
    <w:rsid w:val="00785EE3"/>
    <w:rsid w:val="007B6258"/>
    <w:rsid w:val="007E1086"/>
    <w:rsid w:val="007F4127"/>
    <w:rsid w:val="00870088"/>
    <w:rsid w:val="008919D3"/>
    <w:rsid w:val="0089316C"/>
    <w:rsid w:val="008B228E"/>
    <w:rsid w:val="008E2605"/>
    <w:rsid w:val="00906233"/>
    <w:rsid w:val="0091017A"/>
    <w:rsid w:val="00913716"/>
    <w:rsid w:val="00914BE9"/>
    <w:rsid w:val="00940061"/>
    <w:rsid w:val="0094279F"/>
    <w:rsid w:val="00964FB9"/>
    <w:rsid w:val="00965216"/>
    <w:rsid w:val="009711A3"/>
    <w:rsid w:val="0098615D"/>
    <w:rsid w:val="009922F7"/>
    <w:rsid w:val="009A53B5"/>
    <w:rsid w:val="009D0539"/>
    <w:rsid w:val="00A22873"/>
    <w:rsid w:val="00A505FE"/>
    <w:rsid w:val="00A57FEB"/>
    <w:rsid w:val="00A82345"/>
    <w:rsid w:val="00AE2C3C"/>
    <w:rsid w:val="00B510C0"/>
    <w:rsid w:val="00B752DC"/>
    <w:rsid w:val="00BA5573"/>
    <w:rsid w:val="00BE0F0B"/>
    <w:rsid w:val="00C22120"/>
    <w:rsid w:val="00C327B6"/>
    <w:rsid w:val="00C3595E"/>
    <w:rsid w:val="00C47212"/>
    <w:rsid w:val="00C6171D"/>
    <w:rsid w:val="00C86D7D"/>
    <w:rsid w:val="00CF25DF"/>
    <w:rsid w:val="00CF4CBE"/>
    <w:rsid w:val="00D0769D"/>
    <w:rsid w:val="00D12534"/>
    <w:rsid w:val="00D32F2B"/>
    <w:rsid w:val="00D708DE"/>
    <w:rsid w:val="00D7501D"/>
    <w:rsid w:val="00DD7BEB"/>
    <w:rsid w:val="00E350DA"/>
    <w:rsid w:val="00E5390B"/>
    <w:rsid w:val="00E61DCE"/>
    <w:rsid w:val="00E9578F"/>
    <w:rsid w:val="00EA0681"/>
    <w:rsid w:val="00EA14E1"/>
    <w:rsid w:val="00EB5CDA"/>
    <w:rsid w:val="00EC4E7F"/>
    <w:rsid w:val="00EE7693"/>
    <w:rsid w:val="00F05E01"/>
    <w:rsid w:val="00F05FAB"/>
    <w:rsid w:val="00F13EC8"/>
    <w:rsid w:val="00F258AB"/>
    <w:rsid w:val="00F8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8B22C17"/>
  <w15:chartTrackingRefBased/>
  <w15:docId w15:val="{5B08E0E5-6528-4D26-AA10-6E725740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F05FAB"/>
    <w:pPr>
      <w:spacing w:after="0" w:line="240" w:lineRule="auto"/>
    </w:pPr>
    <w:rPr>
      <w:rFonts w:ascii="Segoe UI" w:hAnsi="Segoe UI"/>
      <w:szCs w:val="24"/>
      <w:lang w:val="en-US" w:bidi="en-US"/>
    </w:rPr>
  </w:style>
  <w:style w:type="paragraph" w:styleId="Heading1">
    <w:name w:val="heading 1"/>
    <w:basedOn w:val="Normal"/>
    <w:next w:val="BodyText"/>
    <w:link w:val="Heading1Char"/>
    <w:qFormat/>
    <w:rsid w:val="00207A15"/>
    <w:pPr>
      <w:keepNext/>
      <w:spacing w:before="240" w:after="240"/>
      <w:outlineLvl w:val="0"/>
    </w:pPr>
    <w:rPr>
      <w:rFonts w:ascii="Segoe UI Semibold" w:eastAsiaTheme="majorEastAsia" w:hAnsi="Segoe UI Semibold"/>
      <w:bCs/>
      <w:color w:val="0069B4"/>
      <w:kern w:val="32"/>
      <w:sz w:val="36"/>
      <w:szCs w:val="32"/>
      <w:lang w:val="en-GB" w:bidi="ar-SA"/>
    </w:rPr>
  </w:style>
  <w:style w:type="paragraph" w:styleId="Heading2">
    <w:name w:val="heading 2"/>
    <w:basedOn w:val="Normal"/>
    <w:next w:val="BodyText"/>
    <w:link w:val="Heading2Char"/>
    <w:qFormat/>
    <w:rsid w:val="00207A15"/>
    <w:pPr>
      <w:keepNext/>
      <w:spacing w:before="240" w:after="120"/>
      <w:outlineLvl w:val="1"/>
    </w:pPr>
    <w:rPr>
      <w:rFonts w:ascii="Segoe UI Semibold" w:eastAsiaTheme="majorEastAsia" w:hAnsi="Segoe UI Semibold"/>
      <w:bCs/>
      <w:iCs/>
      <w:color w:val="009FE3"/>
      <w:sz w:val="28"/>
      <w:szCs w:val="28"/>
      <w:lang w:val="en-GB" w:bidi="ar-SA"/>
    </w:rPr>
  </w:style>
  <w:style w:type="paragraph" w:styleId="Heading3">
    <w:name w:val="heading 3"/>
    <w:basedOn w:val="Normal"/>
    <w:next w:val="BodyText"/>
    <w:link w:val="Heading3Char"/>
    <w:qFormat/>
    <w:rsid w:val="00740E4E"/>
    <w:pPr>
      <w:keepNext/>
      <w:spacing w:before="240" w:after="60"/>
      <w:outlineLvl w:val="2"/>
    </w:pPr>
    <w:rPr>
      <w:rFonts w:ascii="Segoe UI Semibold" w:eastAsiaTheme="majorEastAsia" w:hAnsi="Segoe UI Semibold"/>
      <w:bCs/>
      <w:color w:val="68C0B5" w:themeColor="accent5"/>
      <w:sz w:val="24"/>
      <w:szCs w:val="26"/>
      <w:lang w:val="en-GB" w:bidi="ar-SA"/>
    </w:rPr>
  </w:style>
  <w:style w:type="paragraph" w:styleId="Heading5">
    <w:name w:val="heading 5"/>
    <w:basedOn w:val="Normal"/>
    <w:next w:val="Normal"/>
    <w:link w:val="Heading5Char"/>
    <w:uiPriority w:val="9"/>
    <w:semiHidden/>
    <w:unhideWhenUsed/>
    <w:qFormat/>
    <w:rsid w:val="000646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46F4"/>
    <w:pPr>
      <w:spacing w:before="240" w:after="60"/>
      <w:outlineLvl w:val="5"/>
    </w:pPr>
    <w:rPr>
      <w:b/>
      <w:bCs/>
    </w:rPr>
  </w:style>
  <w:style w:type="paragraph" w:styleId="Heading7">
    <w:name w:val="heading 7"/>
    <w:basedOn w:val="Normal"/>
    <w:next w:val="Normal"/>
    <w:link w:val="Heading7Char"/>
    <w:uiPriority w:val="9"/>
    <w:semiHidden/>
    <w:unhideWhenUsed/>
    <w:qFormat/>
    <w:rsid w:val="000646F4"/>
    <w:pPr>
      <w:spacing w:before="240" w:after="60"/>
      <w:outlineLvl w:val="6"/>
    </w:pPr>
    <w:rPr>
      <w:sz w:val="24"/>
    </w:rPr>
  </w:style>
  <w:style w:type="paragraph" w:styleId="Heading8">
    <w:name w:val="heading 8"/>
    <w:basedOn w:val="Normal"/>
    <w:next w:val="Normal"/>
    <w:link w:val="Heading8Char"/>
    <w:uiPriority w:val="9"/>
    <w:semiHidden/>
    <w:unhideWhenUsed/>
    <w:qFormat/>
    <w:rsid w:val="000646F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646F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FrontPageScheme">
    <w:name w:val="bwFrontPageScheme"/>
    <w:basedOn w:val="Normal"/>
    <w:uiPriority w:val="4"/>
    <w:rsid w:val="000646F4"/>
    <w:pPr>
      <w:jc w:val="right"/>
    </w:pPr>
    <w:rPr>
      <w:b/>
      <w:color w:val="00446A"/>
      <w:sz w:val="64"/>
    </w:rPr>
  </w:style>
  <w:style w:type="paragraph" w:customStyle="1" w:styleId="bwFrontPageJob">
    <w:name w:val="bwFrontPageJob"/>
    <w:basedOn w:val="Normal"/>
    <w:uiPriority w:val="4"/>
    <w:rsid w:val="000646F4"/>
    <w:pPr>
      <w:jc w:val="right"/>
    </w:pPr>
    <w:rPr>
      <w:color w:val="00446A"/>
      <w:sz w:val="36"/>
    </w:rPr>
  </w:style>
  <w:style w:type="paragraph" w:customStyle="1" w:styleId="bwFrontPageDetails">
    <w:name w:val="bwFrontPageDetails"/>
    <w:basedOn w:val="Normal"/>
    <w:uiPriority w:val="4"/>
    <w:rsid w:val="000646F4"/>
    <w:pPr>
      <w:spacing w:before="60"/>
      <w:jc w:val="right"/>
    </w:pPr>
    <w:rPr>
      <w:color w:val="00446A"/>
      <w:sz w:val="28"/>
    </w:rPr>
  </w:style>
  <w:style w:type="paragraph" w:customStyle="1" w:styleId="bwFrontPageDate">
    <w:name w:val="bwFrontPageDate"/>
    <w:basedOn w:val="Normal"/>
    <w:uiPriority w:val="4"/>
    <w:rsid w:val="000646F4"/>
    <w:pPr>
      <w:spacing w:before="240"/>
      <w:jc w:val="right"/>
    </w:pPr>
    <w:rPr>
      <w:color w:val="00446A"/>
    </w:rPr>
  </w:style>
  <w:style w:type="paragraph" w:customStyle="1" w:styleId="AppendixHeading">
    <w:name w:val="Appendix Heading"/>
    <w:basedOn w:val="Normal"/>
    <w:next w:val="AppendixBodyText"/>
    <w:uiPriority w:val="2"/>
    <w:rsid w:val="000646F4"/>
    <w:pPr>
      <w:pageBreakBefore/>
      <w:numPr>
        <w:numId w:val="15"/>
      </w:numPr>
      <w:spacing w:before="240" w:after="240"/>
    </w:pPr>
    <w:rPr>
      <w:b/>
      <w:color w:val="009FE3" w:themeColor="background2"/>
      <w:sz w:val="36"/>
    </w:rPr>
  </w:style>
  <w:style w:type="paragraph" w:customStyle="1" w:styleId="bwFooterLeft">
    <w:name w:val="bwFooterLeft"/>
    <w:basedOn w:val="bwFooterRight"/>
    <w:uiPriority w:val="3"/>
    <w:rsid w:val="007710EB"/>
    <w:pPr>
      <w:jc w:val="left"/>
    </w:pPr>
  </w:style>
  <w:style w:type="paragraph" w:customStyle="1" w:styleId="bwFooterRight">
    <w:name w:val="bwFooterRight"/>
    <w:basedOn w:val="Normal"/>
    <w:uiPriority w:val="3"/>
    <w:rsid w:val="007710EB"/>
    <w:pPr>
      <w:jc w:val="right"/>
    </w:pPr>
    <w:rPr>
      <w:color w:val="797979"/>
      <w:sz w:val="13"/>
      <w:szCs w:val="22"/>
    </w:rPr>
  </w:style>
  <w:style w:type="paragraph" w:customStyle="1" w:styleId="AppendixBodyText">
    <w:name w:val="Appendix Body Text"/>
    <w:basedOn w:val="Normal"/>
    <w:link w:val="AppendixBodyTextChar"/>
    <w:uiPriority w:val="2"/>
    <w:rsid w:val="000646F4"/>
    <w:pPr>
      <w:spacing w:after="200"/>
      <w:jc w:val="both"/>
    </w:pPr>
  </w:style>
  <w:style w:type="character" w:customStyle="1" w:styleId="AppendixBodyTextChar">
    <w:name w:val="Appendix Body Text Char"/>
    <w:basedOn w:val="DefaultParagraphFont"/>
    <w:link w:val="AppendixBodyText"/>
    <w:uiPriority w:val="2"/>
    <w:rsid w:val="000646F4"/>
    <w:rPr>
      <w:rFonts w:ascii="Segoe UI" w:hAnsi="Segoe UI"/>
    </w:rPr>
  </w:style>
  <w:style w:type="paragraph" w:customStyle="1" w:styleId="Subject">
    <w:name w:val="Subject"/>
    <w:basedOn w:val="Normal"/>
    <w:next w:val="BodyText"/>
    <w:link w:val="SubjectChar"/>
    <w:rsid w:val="002B2947"/>
    <w:pPr>
      <w:spacing w:after="300"/>
      <w:contextualSpacing/>
    </w:pPr>
    <w:rPr>
      <w:rFonts w:cstheme="minorBidi"/>
      <w:color w:val="009FE3"/>
      <w:sz w:val="22"/>
      <w:szCs w:val="22"/>
      <w:lang w:val="en-GB" w:bidi="ar-SA"/>
    </w:rPr>
  </w:style>
  <w:style w:type="character" w:customStyle="1" w:styleId="SubjectChar">
    <w:name w:val="Subject Char"/>
    <w:basedOn w:val="DefaultParagraphFont"/>
    <w:link w:val="Subject"/>
    <w:rsid w:val="002B2947"/>
    <w:rPr>
      <w:rFonts w:ascii="Segoe UI" w:hAnsi="Segoe UI" w:cstheme="minorBidi"/>
      <w:color w:val="009FE3"/>
      <w:sz w:val="22"/>
      <w:szCs w:val="22"/>
    </w:rPr>
  </w:style>
  <w:style w:type="paragraph" w:styleId="BodyText">
    <w:name w:val="Body Text"/>
    <w:aliases w:val="bt,bt + Arial,10 pt,Bold,Indigo,Left:  0 cm,Hanging:  1 cm"/>
    <w:basedOn w:val="Normal"/>
    <w:link w:val="BodyTextChar"/>
    <w:qFormat/>
    <w:rsid w:val="000646F4"/>
    <w:pPr>
      <w:spacing w:after="200"/>
      <w:jc w:val="both"/>
    </w:pPr>
    <w:rPr>
      <w:szCs w:val="20"/>
      <w:lang w:val="en-GB" w:bidi="ar-SA"/>
    </w:rPr>
  </w:style>
  <w:style w:type="character" w:customStyle="1" w:styleId="BodyTextChar">
    <w:name w:val="Body Text Char"/>
    <w:aliases w:val="bt Char,bt + Arial Char,10 pt Char,Bold Char,Indigo Char,Left:  0 cm Char,Hanging:  1 cm Char"/>
    <w:basedOn w:val="DefaultParagraphFont"/>
    <w:link w:val="BodyText"/>
    <w:rsid w:val="000646F4"/>
    <w:rPr>
      <w:rFonts w:ascii="Segoe UI" w:hAnsi="Segoe UI"/>
    </w:rPr>
  </w:style>
  <w:style w:type="paragraph" w:customStyle="1" w:styleId="AppendixListBullet">
    <w:name w:val="Appendix List Bullet"/>
    <w:basedOn w:val="ListBullet"/>
    <w:uiPriority w:val="2"/>
    <w:semiHidden/>
    <w:qFormat/>
    <w:rsid w:val="000646F4"/>
    <w:pPr>
      <w:numPr>
        <w:numId w:val="0"/>
      </w:numPr>
    </w:pPr>
  </w:style>
  <w:style w:type="paragraph" w:styleId="ListBullet">
    <w:name w:val="List Bullet"/>
    <w:basedOn w:val="Normal"/>
    <w:uiPriority w:val="1"/>
    <w:semiHidden/>
    <w:qFormat/>
    <w:rsid w:val="000646F4"/>
    <w:pPr>
      <w:numPr>
        <w:numId w:val="13"/>
      </w:numPr>
      <w:spacing w:after="240" w:line="276" w:lineRule="auto"/>
      <w:contextualSpacing/>
    </w:pPr>
    <w:rPr>
      <w:szCs w:val="20"/>
      <w:lang w:val="en-GB" w:bidi="ar-SA"/>
    </w:rPr>
  </w:style>
  <w:style w:type="paragraph" w:customStyle="1" w:styleId="AppendixListNumber">
    <w:name w:val="Appendix List Number"/>
    <w:basedOn w:val="ListNumber"/>
    <w:uiPriority w:val="2"/>
    <w:semiHidden/>
    <w:qFormat/>
    <w:rsid w:val="000646F4"/>
    <w:pPr>
      <w:numPr>
        <w:numId w:val="0"/>
      </w:numPr>
    </w:pPr>
  </w:style>
  <w:style w:type="paragraph" w:styleId="ListNumber">
    <w:name w:val="List Number"/>
    <w:basedOn w:val="Normal"/>
    <w:uiPriority w:val="1"/>
    <w:semiHidden/>
    <w:qFormat/>
    <w:rsid w:val="000646F4"/>
    <w:pPr>
      <w:numPr>
        <w:numId w:val="14"/>
      </w:numPr>
      <w:tabs>
        <w:tab w:val="clear" w:pos="360"/>
      </w:tabs>
      <w:spacing w:after="240" w:line="276" w:lineRule="auto"/>
      <w:ind w:left="2268" w:hanging="2268"/>
      <w:contextualSpacing/>
    </w:pPr>
    <w:rPr>
      <w:szCs w:val="20"/>
      <w:lang w:val="en-GB" w:bidi="ar-SA"/>
    </w:rPr>
  </w:style>
  <w:style w:type="paragraph" w:customStyle="1" w:styleId="AppendixSubheading">
    <w:name w:val="Appendix Subheading"/>
    <w:basedOn w:val="Normal"/>
    <w:next w:val="AppendixBodyText"/>
    <w:uiPriority w:val="2"/>
    <w:rsid w:val="000646F4"/>
    <w:pPr>
      <w:spacing w:before="240" w:after="120"/>
    </w:pPr>
    <w:rPr>
      <w:b/>
      <w:color w:val="009FE3" w:themeColor="background2"/>
      <w:sz w:val="28"/>
    </w:rPr>
  </w:style>
  <w:style w:type="paragraph" w:customStyle="1" w:styleId="LetterSubheading">
    <w:name w:val="Letter Subheading"/>
    <w:basedOn w:val="Subject"/>
    <w:next w:val="BodyText"/>
    <w:link w:val="LetterSubheadingChar"/>
    <w:uiPriority w:val="1"/>
    <w:qFormat/>
    <w:rsid w:val="00D32F2B"/>
    <w:pPr>
      <w:spacing w:after="120"/>
    </w:pPr>
  </w:style>
  <w:style w:type="character" w:customStyle="1" w:styleId="LetterSubheadingChar">
    <w:name w:val="Letter Subheading Char"/>
    <w:basedOn w:val="SubjectChar"/>
    <w:link w:val="LetterSubheading"/>
    <w:uiPriority w:val="1"/>
    <w:rsid w:val="00D32F2B"/>
    <w:rPr>
      <w:rFonts w:ascii="Segoe UI" w:hAnsi="Segoe UI" w:cstheme="minorBidi"/>
      <w:b w:val="0"/>
      <w:color w:val="009FE3"/>
      <w:sz w:val="22"/>
      <w:szCs w:val="22"/>
    </w:rPr>
  </w:style>
  <w:style w:type="paragraph" w:customStyle="1" w:styleId="bwTableText">
    <w:name w:val="bwTableText"/>
    <w:basedOn w:val="NoSpacing"/>
    <w:qFormat/>
    <w:rsid w:val="000646F4"/>
    <w:pPr>
      <w:keepNext/>
    </w:pPr>
  </w:style>
  <w:style w:type="paragraph" w:styleId="NoSpacing">
    <w:name w:val="No Spacing"/>
    <w:basedOn w:val="Normal"/>
    <w:link w:val="NoSpacingChar"/>
    <w:qFormat/>
    <w:rsid w:val="000646F4"/>
    <w:rPr>
      <w:szCs w:val="32"/>
      <w:lang w:val="en-GB" w:bidi="ar-SA"/>
    </w:rPr>
  </w:style>
  <w:style w:type="character" w:customStyle="1" w:styleId="Heading1Char">
    <w:name w:val="Heading 1 Char"/>
    <w:basedOn w:val="DefaultParagraphFont"/>
    <w:link w:val="Heading1"/>
    <w:rsid w:val="00207A15"/>
    <w:rPr>
      <w:rFonts w:ascii="Segoe UI Semibold" w:eastAsiaTheme="majorEastAsia" w:hAnsi="Segoe UI Semibold"/>
      <w:bCs/>
      <w:color w:val="0069B4"/>
      <w:kern w:val="32"/>
      <w:sz w:val="36"/>
      <w:szCs w:val="32"/>
    </w:rPr>
  </w:style>
  <w:style w:type="character" w:customStyle="1" w:styleId="Heading2Char">
    <w:name w:val="Heading 2 Char"/>
    <w:basedOn w:val="DefaultParagraphFont"/>
    <w:link w:val="Heading2"/>
    <w:rsid w:val="00207A15"/>
    <w:rPr>
      <w:rFonts w:ascii="Segoe UI Semibold" w:eastAsiaTheme="majorEastAsia" w:hAnsi="Segoe UI Semibold"/>
      <w:bCs/>
      <w:iCs/>
      <w:color w:val="009FE3"/>
      <w:sz w:val="28"/>
      <w:szCs w:val="28"/>
    </w:rPr>
  </w:style>
  <w:style w:type="character" w:customStyle="1" w:styleId="Heading3Char">
    <w:name w:val="Heading 3 Char"/>
    <w:basedOn w:val="DefaultParagraphFont"/>
    <w:link w:val="Heading3"/>
    <w:rsid w:val="00740E4E"/>
    <w:rPr>
      <w:rFonts w:ascii="Segoe UI Semibold" w:eastAsiaTheme="majorEastAsia" w:hAnsi="Segoe UI Semibold"/>
      <w:bCs/>
      <w:color w:val="68C0B5" w:themeColor="accent5"/>
      <w:sz w:val="24"/>
      <w:szCs w:val="26"/>
    </w:rPr>
  </w:style>
  <w:style w:type="character" w:customStyle="1" w:styleId="Heading5Char">
    <w:name w:val="Heading 5 Char"/>
    <w:basedOn w:val="DefaultParagraphFont"/>
    <w:link w:val="Heading5"/>
    <w:uiPriority w:val="9"/>
    <w:semiHidden/>
    <w:rsid w:val="000646F4"/>
    <w:rPr>
      <w:rFonts w:ascii="Segoe UI" w:hAnsi="Segoe UI"/>
      <w:b/>
      <w:bCs/>
      <w:i/>
      <w:iCs/>
      <w:sz w:val="26"/>
      <w:szCs w:val="26"/>
    </w:rPr>
  </w:style>
  <w:style w:type="character" w:customStyle="1" w:styleId="Heading6Char">
    <w:name w:val="Heading 6 Char"/>
    <w:basedOn w:val="DefaultParagraphFont"/>
    <w:link w:val="Heading6"/>
    <w:uiPriority w:val="9"/>
    <w:semiHidden/>
    <w:rsid w:val="000646F4"/>
    <w:rPr>
      <w:rFonts w:ascii="Segoe UI" w:hAnsi="Segoe UI"/>
      <w:b/>
      <w:bCs/>
    </w:rPr>
  </w:style>
  <w:style w:type="character" w:customStyle="1" w:styleId="Heading7Char">
    <w:name w:val="Heading 7 Char"/>
    <w:basedOn w:val="DefaultParagraphFont"/>
    <w:link w:val="Heading7"/>
    <w:uiPriority w:val="9"/>
    <w:semiHidden/>
    <w:rsid w:val="000646F4"/>
    <w:rPr>
      <w:rFonts w:ascii="Segoe UI" w:hAnsi="Segoe UI"/>
      <w:sz w:val="24"/>
      <w:szCs w:val="24"/>
    </w:rPr>
  </w:style>
  <w:style w:type="character" w:customStyle="1" w:styleId="Heading8Char">
    <w:name w:val="Heading 8 Char"/>
    <w:basedOn w:val="DefaultParagraphFont"/>
    <w:link w:val="Heading8"/>
    <w:uiPriority w:val="9"/>
    <w:semiHidden/>
    <w:rsid w:val="000646F4"/>
    <w:rPr>
      <w:rFonts w:ascii="Segoe UI" w:hAnsi="Segoe UI"/>
      <w:i/>
      <w:iCs/>
      <w:sz w:val="24"/>
      <w:szCs w:val="24"/>
    </w:rPr>
  </w:style>
  <w:style w:type="character" w:customStyle="1" w:styleId="Heading9Char">
    <w:name w:val="Heading 9 Char"/>
    <w:basedOn w:val="DefaultParagraphFont"/>
    <w:link w:val="Heading9"/>
    <w:uiPriority w:val="9"/>
    <w:semiHidden/>
    <w:rsid w:val="000646F4"/>
    <w:rPr>
      <w:rFonts w:asciiTheme="majorHAnsi" w:eastAsiaTheme="majorEastAsia" w:hAnsiTheme="majorHAnsi"/>
    </w:rPr>
  </w:style>
  <w:style w:type="paragraph" w:styleId="List">
    <w:name w:val="List"/>
    <w:basedOn w:val="Normal"/>
    <w:link w:val="ListChar"/>
    <w:qFormat/>
    <w:rsid w:val="000646F4"/>
    <w:pPr>
      <w:numPr>
        <w:numId w:val="16"/>
      </w:numPr>
      <w:spacing w:after="200" w:line="276" w:lineRule="auto"/>
      <w:contextualSpacing/>
    </w:pPr>
    <w:rPr>
      <w:szCs w:val="20"/>
      <w:lang w:val="en-GB" w:bidi="ar-SA"/>
    </w:rPr>
  </w:style>
  <w:style w:type="paragraph" w:styleId="Title">
    <w:name w:val="Title"/>
    <w:basedOn w:val="Normal"/>
    <w:next w:val="Heading1"/>
    <w:link w:val="TitleChar"/>
    <w:uiPriority w:val="2"/>
    <w:qFormat/>
    <w:rsid w:val="000646F4"/>
    <w:pPr>
      <w:spacing w:before="240" w:after="720"/>
      <w:jc w:val="center"/>
    </w:pPr>
    <w:rPr>
      <w:b/>
      <w:color w:val="009FE3" w:themeColor="background2"/>
      <w:sz w:val="44"/>
      <w:szCs w:val="44"/>
      <w:lang w:val="en-GB" w:bidi="ar-SA"/>
    </w:rPr>
  </w:style>
  <w:style w:type="character" w:customStyle="1" w:styleId="TitleChar">
    <w:name w:val="Title Char"/>
    <w:basedOn w:val="DefaultParagraphFont"/>
    <w:link w:val="Title"/>
    <w:uiPriority w:val="2"/>
    <w:rsid w:val="000646F4"/>
    <w:rPr>
      <w:rFonts w:ascii="Segoe UI" w:hAnsi="Segoe UI"/>
      <w:b/>
      <w:color w:val="009FE3" w:themeColor="background2"/>
      <w:sz w:val="44"/>
      <w:szCs w:val="44"/>
    </w:rPr>
  </w:style>
  <w:style w:type="paragraph" w:styleId="Closing">
    <w:name w:val="Closing"/>
    <w:basedOn w:val="Normal"/>
    <w:link w:val="ClosingChar"/>
    <w:uiPriority w:val="1"/>
    <w:qFormat/>
    <w:rsid w:val="000646F4"/>
    <w:pPr>
      <w:spacing w:before="360" w:after="840"/>
    </w:pPr>
    <w:rPr>
      <w:szCs w:val="20"/>
      <w:lang w:val="en-GB" w:bidi="ar-SA"/>
    </w:rPr>
  </w:style>
  <w:style w:type="character" w:customStyle="1" w:styleId="ClosingChar">
    <w:name w:val="Closing Char"/>
    <w:basedOn w:val="DefaultParagraphFont"/>
    <w:link w:val="Closing"/>
    <w:uiPriority w:val="1"/>
    <w:rsid w:val="000646F4"/>
    <w:rPr>
      <w:rFonts w:ascii="Segoe UI" w:hAnsi="Segoe UI"/>
    </w:rPr>
  </w:style>
  <w:style w:type="paragraph" w:styleId="Signature">
    <w:name w:val="Signature"/>
    <w:basedOn w:val="Normal"/>
    <w:link w:val="SignatureChar"/>
    <w:qFormat/>
    <w:rsid w:val="000646F4"/>
    <w:rPr>
      <w:rFonts w:cstheme="minorBidi"/>
      <w:b/>
      <w:szCs w:val="22"/>
      <w:lang w:val="en-GB" w:bidi="ar-SA"/>
    </w:rPr>
  </w:style>
  <w:style w:type="character" w:customStyle="1" w:styleId="SignatureChar">
    <w:name w:val="Signature Char"/>
    <w:basedOn w:val="DefaultParagraphFont"/>
    <w:link w:val="Signature"/>
    <w:rsid w:val="000646F4"/>
    <w:rPr>
      <w:rFonts w:ascii="Segoe UI" w:hAnsi="Segoe UI" w:cstheme="minorBidi"/>
      <w:b/>
      <w:szCs w:val="22"/>
    </w:rPr>
  </w:style>
  <w:style w:type="paragraph" w:styleId="Salutation">
    <w:name w:val="Salutation"/>
    <w:basedOn w:val="Normal"/>
    <w:next w:val="Normal"/>
    <w:link w:val="SalutationChar"/>
    <w:uiPriority w:val="1"/>
    <w:rsid w:val="000646F4"/>
    <w:pPr>
      <w:spacing w:after="240"/>
    </w:pPr>
  </w:style>
  <w:style w:type="character" w:customStyle="1" w:styleId="SalutationChar">
    <w:name w:val="Salutation Char"/>
    <w:basedOn w:val="DefaultParagraphFont"/>
    <w:link w:val="Salutation"/>
    <w:uiPriority w:val="1"/>
    <w:rsid w:val="000646F4"/>
    <w:rPr>
      <w:rFonts w:ascii="Segoe UI" w:hAnsi="Segoe UI"/>
    </w:rPr>
  </w:style>
  <w:style w:type="paragraph" w:styleId="Date">
    <w:name w:val="Date"/>
    <w:basedOn w:val="Normal"/>
    <w:next w:val="Normal"/>
    <w:link w:val="DateChar"/>
    <w:uiPriority w:val="1"/>
    <w:qFormat/>
    <w:rsid w:val="000646F4"/>
    <w:pPr>
      <w:jc w:val="right"/>
    </w:pPr>
    <w:rPr>
      <w:sz w:val="22"/>
      <w:szCs w:val="20"/>
      <w:lang w:val="en-GB" w:bidi="ar-SA"/>
    </w:rPr>
  </w:style>
  <w:style w:type="character" w:customStyle="1" w:styleId="DateChar">
    <w:name w:val="Date Char"/>
    <w:basedOn w:val="DefaultParagraphFont"/>
    <w:link w:val="Date"/>
    <w:uiPriority w:val="1"/>
    <w:rsid w:val="000646F4"/>
    <w:rPr>
      <w:rFonts w:ascii="Segoe UI" w:hAnsi="Segoe UI"/>
      <w:sz w:val="22"/>
    </w:rPr>
  </w:style>
  <w:style w:type="paragraph" w:styleId="BodyText2">
    <w:name w:val="Body Text 2"/>
    <w:basedOn w:val="BodyText"/>
    <w:link w:val="BodyText2Char"/>
    <w:uiPriority w:val="99"/>
    <w:semiHidden/>
    <w:qFormat/>
    <w:rsid w:val="000646F4"/>
  </w:style>
  <w:style w:type="character" w:customStyle="1" w:styleId="BodyText2Char">
    <w:name w:val="Body Text 2 Char"/>
    <w:basedOn w:val="DefaultParagraphFont"/>
    <w:link w:val="BodyText2"/>
    <w:uiPriority w:val="99"/>
    <w:semiHidden/>
    <w:rsid w:val="000646F4"/>
    <w:rPr>
      <w:rFonts w:ascii="Segoe UI" w:hAnsi="Segoe UI"/>
    </w:rPr>
  </w:style>
  <w:style w:type="character" w:styleId="Hyperlink">
    <w:name w:val="Hyperlink"/>
    <w:basedOn w:val="DefaultParagraphFont"/>
    <w:uiPriority w:val="1"/>
    <w:unhideWhenUsed/>
    <w:qFormat/>
    <w:rsid w:val="00D32F2B"/>
    <w:rPr>
      <w:rFonts w:ascii="Segoe UI" w:hAnsi="Segoe UI"/>
      <w:color w:val="009FE3"/>
      <w:sz w:val="20"/>
      <w:u w:val="single"/>
    </w:rPr>
  </w:style>
  <w:style w:type="character" w:customStyle="1" w:styleId="NoSpacingChar">
    <w:name w:val="No Spacing Char"/>
    <w:basedOn w:val="DefaultParagraphFont"/>
    <w:link w:val="NoSpacing"/>
    <w:rsid w:val="000646F4"/>
    <w:rPr>
      <w:rFonts w:ascii="Segoe UI" w:hAnsi="Segoe UI"/>
      <w:szCs w:val="32"/>
    </w:rPr>
  </w:style>
  <w:style w:type="paragraph" w:styleId="TOCHeading">
    <w:name w:val="TOC Heading"/>
    <w:next w:val="Normal"/>
    <w:uiPriority w:val="5"/>
    <w:rsid w:val="000646F4"/>
    <w:pPr>
      <w:keepNext/>
      <w:spacing w:before="200"/>
    </w:pPr>
    <w:rPr>
      <w:rFonts w:ascii="Segoe UI" w:eastAsiaTheme="majorEastAsia" w:hAnsi="Segoe UI"/>
      <w:b/>
      <w:bCs/>
      <w:color w:val="009FE3" w:themeColor="background2"/>
      <w:kern w:val="32"/>
      <w:sz w:val="36"/>
      <w:szCs w:val="32"/>
    </w:rPr>
  </w:style>
  <w:style w:type="paragraph" w:customStyle="1" w:styleId="NumberedList">
    <w:name w:val="Numbered List"/>
    <w:basedOn w:val="List"/>
    <w:link w:val="NumberedListChar"/>
    <w:qFormat/>
    <w:rsid w:val="000221F1"/>
    <w:pPr>
      <w:numPr>
        <w:numId w:val="17"/>
      </w:numPr>
    </w:pPr>
  </w:style>
  <w:style w:type="paragraph" w:customStyle="1" w:styleId="Frontpageheader1">
    <w:name w:val="Front page header 1"/>
    <w:basedOn w:val="Heading1"/>
    <w:link w:val="Frontpageheader1Char"/>
    <w:qFormat/>
    <w:rsid w:val="00207A15"/>
    <w:rPr>
      <w:sz w:val="56"/>
      <w:szCs w:val="56"/>
    </w:rPr>
  </w:style>
  <w:style w:type="character" w:customStyle="1" w:styleId="ListChar">
    <w:name w:val="List Char"/>
    <w:basedOn w:val="DefaultParagraphFont"/>
    <w:link w:val="List"/>
    <w:rsid w:val="000221F1"/>
    <w:rPr>
      <w:rFonts w:ascii="Segoe UI" w:hAnsi="Segoe UI"/>
    </w:rPr>
  </w:style>
  <w:style w:type="character" w:customStyle="1" w:styleId="NumberedListChar">
    <w:name w:val="Numbered List Char"/>
    <w:basedOn w:val="ListChar"/>
    <w:link w:val="NumberedList"/>
    <w:rsid w:val="000221F1"/>
    <w:rPr>
      <w:rFonts w:ascii="Segoe UI" w:hAnsi="Segoe UI"/>
    </w:rPr>
  </w:style>
  <w:style w:type="paragraph" w:customStyle="1" w:styleId="Frontpagedetails">
    <w:name w:val="Front page details"/>
    <w:basedOn w:val="Frontpageheader1"/>
    <w:link w:val="FrontpagedetailsChar"/>
    <w:qFormat/>
    <w:rsid w:val="00CF25DF"/>
    <w:rPr>
      <w:color w:val="797979"/>
      <w:sz w:val="24"/>
      <w:szCs w:val="36"/>
    </w:rPr>
  </w:style>
  <w:style w:type="character" w:customStyle="1" w:styleId="Frontpageheader1Char">
    <w:name w:val="Front page header 1 Char"/>
    <w:basedOn w:val="Heading1Char"/>
    <w:link w:val="Frontpageheader1"/>
    <w:rsid w:val="00207A15"/>
    <w:rPr>
      <w:rFonts w:ascii="Segoe UI Semibold" w:eastAsiaTheme="majorEastAsia" w:hAnsi="Segoe UI Semibold"/>
      <w:bCs/>
      <w:color w:val="0069B4"/>
      <w:kern w:val="32"/>
      <w:sz w:val="56"/>
      <w:szCs w:val="56"/>
    </w:rPr>
  </w:style>
  <w:style w:type="paragraph" w:customStyle="1" w:styleId="Frontpagedate">
    <w:name w:val="Front page date"/>
    <w:basedOn w:val="Frontpagedetails"/>
    <w:link w:val="FrontpagedateChar"/>
    <w:qFormat/>
    <w:rsid w:val="00CF25DF"/>
    <w:rPr>
      <w:sz w:val="16"/>
    </w:rPr>
  </w:style>
  <w:style w:type="character" w:customStyle="1" w:styleId="FrontpagedetailsChar">
    <w:name w:val="Front page details Char"/>
    <w:basedOn w:val="Frontpageheader1Char"/>
    <w:link w:val="Frontpagedetails"/>
    <w:rsid w:val="00CF25DF"/>
    <w:rPr>
      <w:rFonts w:ascii="Segoe UI" w:eastAsiaTheme="majorEastAsia" w:hAnsi="Segoe UI"/>
      <w:bCs/>
      <w:color w:val="797979"/>
      <w:kern w:val="32"/>
      <w:sz w:val="24"/>
      <w:szCs w:val="36"/>
    </w:rPr>
  </w:style>
  <w:style w:type="table" w:customStyle="1" w:styleId="bwTable">
    <w:name w:val="bwTable"/>
    <w:basedOn w:val="TableNormal"/>
    <w:uiPriority w:val="99"/>
    <w:qFormat/>
    <w:rsid w:val="00DD7BEB"/>
    <w:pPr>
      <w:spacing w:after="0" w:line="240" w:lineRule="auto"/>
    </w:pPr>
    <w:rPr>
      <w:lang w:val="en-US" w:bidi="en-US"/>
    </w:rPr>
    <w:tblPr>
      <w:tblStyleRowBandSize w:val="1"/>
      <w:tblStyleColBandSize w:val="1"/>
      <w:tblBorders>
        <w:top w:val="single" w:sz="4" w:space="0" w:color="009FE3" w:themeColor="background2"/>
        <w:left w:val="single" w:sz="4" w:space="0" w:color="009FE3" w:themeColor="background2"/>
        <w:bottom w:val="single" w:sz="4" w:space="0" w:color="009FE3" w:themeColor="background2"/>
        <w:right w:val="single" w:sz="4" w:space="0" w:color="009FE3" w:themeColor="background2"/>
        <w:insideH w:val="single" w:sz="4" w:space="0" w:color="009FE3" w:themeColor="background2"/>
        <w:insideV w:val="single" w:sz="4" w:space="0" w:color="009FE3" w:themeColor="background2"/>
      </w:tblBorders>
      <w:tblCellMar>
        <w:top w:w="108" w:type="dxa"/>
        <w:bottom w:w="108" w:type="dxa"/>
      </w:tblCellMar>
    </w:tblPr>
    <w:tcPr>
      <w:vAlign w:val="center"/>
    </w:tcPr>
    <w:tblStylePr w:type="firstRow">
      <w:rPr>
        <w:b w:val="0"/>
        <w:color w:val="41C0F0" w:themeColor="accent1"/>
      </w:rPr>
      <w:tblPr/>
      <w:tcPr>
        <w:tcBorders>
          <w:top w:val="single" w:sz="4" w:space="0" w:color="41C0F0" w:themeColor="accent1"/>
          <w:left w:val="nil"/>
          <w:bottom w:val="single" w:sz="4" w:space="0" w:color="41C0F0" w:themeColor="accent1"/>
          <w:right w:val="nil"/>
          <w:insideH w:val="nil"/>
          <w:insideV w:val="nil"/>
          <w:tl2br w:val="nil"/>
          <w:tr2bl w:val="nil"/>
        </w:tcBorders>
      </w:tcPr>
    </w:tblStylePr>
    <w:tblStylePr w:type="lastRow">
      <w:tblPr/>
      <w:tcPr>
        <w:tcBorders>
          <w:top w:val="single" w:sz="4" w:space="0" w:color="BFBFBF" w:themeColor="background1" w:themeShade="BF"/>
          <w:left w:val="nil"/>
          <w:bottom w:val="nil"/>
          <w:right w:val="nil"/>
          <w:insideH w:val="nil"/>
          <w:insideV w:val="nil"/>
          <w:tl2br w:val="nil"/>
          <w:tr2bl w:val="nil"/>
        </w:tcBorders>
      </w:tcPr>
    </w:tblStylePr>
    <w:tblStylePr w:type="band1Horz">
      <w:tblPr/>
      <w:tcPr>
        <w:tcBorders>
          <w:top w:val="single" w:sz="4" w:space="0" w:color="BFBFBF" w:themeColor="background1" w:themeShade="BF"/>
          <w:left w:val="nil"/>
          <w:bottom w:val="nil"/>
          <w:right w:val="nil"/>
          <w:insideH w:val="nil"/>
          <w:insideV w:val="nil"/>
          <w:tl2br w:val="nil"/>
          <w:tr2bl w:val="nil"/>
        </w:tcBorders>
      </w:tcPr>
    </w:tblStylePr>
    <w:tblStylePr w:type="band2Horz">
      <w:tblPr/>
      <w:tcPr>
        <w:tcBorders>
          <w:top w:val="single" w:sz="4" w:space="0" w:color="BFBFBF" w:themeColor="background1" w:themeShade="BF"/>
          <w:left w:val="nil"/>
          <w:bottom w:val="nil"/>
          <w:right w:val="nil"/>
          <w:insideH w:val="nil"/>
          <w:insideV w:val="nil"/>
          <w:tl2br w:val="nil"/>
          <w:tr2bl w:val="nil"/>
        </w:tcBorders>
      </w:tcPr>
    </w:tblStylePr>
  </w:style>
  <w:style w:type="character" w:customStyle="1" w:styleId="FrontpagedateChar">
    <w:name w:val="Front page date Char"/>
    <w:basedOn w:val="FrontpagedetailsChar"/>
    <w:link w:val="Frontpagedate"/>
    <w:rsid w:val="00CF25DF"/>
    <w:rPr>
      <w:rFonts w:ascii="Segoe UI" w:eastAsiaTheme="majorEastAsia" w:hAnsi="Segoe UI"/>
      <w:bCs/>
      <w:color w:val="797979"/>
      <w:kern w:val="32"/>
      <w:sz w:val="16"/>
      <w:szCs w:val="36"/>
    </w:rPr>
  </w:style>
  <w:style w:type="paragraph" w:styleId="Header">
    <w:name w:val="header"/>
    <w:basedOn w:val="Normal"/>
    <w:link w:val="HeaderChar"/>
    <w:uiPriority w:val="99"/>
    <w:unhideWhenUsed/>
    <w:rsid w:val="00615554"/>
    <w:pPr>
      <w:tabs>
        <w:tab w:val="center" w:pos="4513"/>
        <w:tab w:val="right" w:pos="9026"/>
      </w:tabs>
    </w:pPr>
    <w:rPr>
      <w:szCs w:val="20"/>
      <w:lang w:val="en-GB" w:bidi="ar-SA"/>
    </w:rPr>
  </w:style>
  <w:style w:type="character" w:customStyle="1" w:styleId="HeaderChar">
    <w:name w:val="Header Char"/>
    <w:basedOn w:val="DefaultParagraphFont"/>
    <w:link w:val="Header"/>
    <w:uiPriority w:val="99"/>
    <w:rsid w:val="00615554"/>
    <w:rPr>
      <w:rFonts w:ascii="Segoe UI" w:hAnsi="Segoe UI"/>
    </w:rPr>
  </w:style>
  <w:style w:type="paragraph" w:styleId="Footer">
    <w:name w:val="footer"/>
    <w:basedOn w:val="Normal"/>
    <w:link w:val="FooterChar"/>
    <w:uiPriority w:val="99"/>
    <w:unhideWhenUsed/>
    <w:rsid w:val="00615554"/>
    <w:pPr>
      <w:tabs>
        <w:tab w:val="center" w:pos="4513"/>
        <w:tab w:val="right" w:pos="9026"/>
      </w:tabs>
    </w:pPr>
    <w:rPr>
      <w:szCs w:val="20"/>
      <w:lang w:val="en-GB" w:bidi="ar-SA"/>
    </w:rPr>
  </w:style>
  <w:style w:type="character" w:customStyle="1" w:styleId="FooterChar">
    <w:name w:val="Footer Char"/>
    <w:basedOn w:val="DefaultParagraphFont"/>
    <w:link w:val="Footer"/>
    <w:uiPriority w:val="99"/>
    <w:rsid w:val="00615554"/>
    <w:rPr>
      <w:rFonts w:ascii="Segoe UI" w:hAnsi="Segoe UI"/>
    </w:rPr>
  </w:style>
  <w:style w:type="character" w:styleId="PlaceholderText">
    <w:name w:val="Placeholder Text"/>
    <w:basedOn w:val="DefaultParagraphFont"/>
    <w:uiPriority w:val="99"/>
    <w:semiHidden/>
    <w:rsid w:val="00615554"/>
    <w:rPr>
      <w:color w:val="808080"/>
    </w:rPr>
  </w:style>
  <w:style w:type="table" w:styleId="TableGrid">
    <w:name w:val="Table Grid"/>
    <w:basedOn w:val="TableNormal"/>
    <w:uiPriority w:val="59"/>
    <w:rsid w:val="0020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A2"/>
    <w:rPr>
      <w:sz w:val="16"/>
      <w:szCs w:val="16"/>
    </w:rPr>
  </w:style>
  <w:style w:type="paragraph" w:styleId="CommentText">
    <w:name w:val="annotation text"/>
    <w:basedOn w:val="Normal"/>
    <w:link w:val="CommentTextChar"/>
    <w:uiPriority w:val="99"/>
    <w:unhideWhenUsed/>
    <w:rsid w:val="006520A2"/>
    <w:rPr>
      <w:szCs w:val="20"/>
    </w:rPr>
  </w:style>
  <w:style w:type="character" w:customStyle="1" w:styleId="CommentTextChar">
    <w:name w:val="Comment Text Char"/>
    <w:basedOn w:val="DefaultParagraphFont"/>
    <w:link w:val="CommentText"/>
    <w:uiPriority w:val="99"/>
    <w:rsid w:val="006520A2"/>
    <w:rPr>
      <w:rFonts w:ascii="Segoe UI" w:hAnsi="Segoe UI"/>
      <w:lang w:val="en-US" w:bidi="en-US"/>
    </w:rPr>
  </w:style>
  <w:style w:type="paragraph" w:styleId="CommentSubject">
    <w:name w:val="annotation subject"/>
    <w:basedOn w:val="CommentText"/>
    <w:next w:val="CommentText"/>
    <w:link w:val="CommentSubjectChar"/>
    <w:uiPriority w:val="99"/>
    <w:semiHidden/>
    <w:unhideWhenUsed/>
    <w:rsid w:val="006520A2"/>
    <w:rPr>
      <w:b/>
      <w:bCs/>
    </w:rPr>
  </w:style>
  <w:style w:type="character" w:customStyle="1" w:styleId="CommentSubjectChar">
    <w:name w:val="Comment Subject Char"/>
    <w:basedOn w:val="CommentTextChar"/>
    <w:link w:val="CommentSubject"/>
    <w:uiPriority w:val="99"/>
    <w:semiHidden/>
    <w:rsid w:val="006520A2"/>
    <w:rPr>
      <w:rFonts w:ascii="Segoe UI" w:hAnsi="Segoe UI"/>
      <w:b/>
      <w:bCs/>
      <w:lang w:val="en-US" w:bidi="en-US"/>
    </w:rPr>
  </w:style>
  <w:style w:type="paragraph" w:styleId="BalloonText">
    <w:name w:val="Balloon Text"/>
    <w:basedOn w:val="Normal"/>
    <w:link w:val="BalloonTextChar"/>
    <w:uiPriority w:val="99"/>
    <w:semiHidden/>
    <w:unhideWhenUsed/>
    <w:rsid w:val="006520A2"/>
    <w:rPr>
      <w:rFonts w:cs="Segoe UI"/>
      <w:sz w:val="18"/>
      <w:szCs w:val="18"/>
    </w:rPr>
  </w:style>
  <w:style w:type="character" w:customStyle="1" w:styleId="BalloonTextChar">
    <w:name w:val="Balloon Text Char"/>
    <w:basedOn w:val="DefaultParagraphFont"/>
    <w:link w:val="BalloonText"/>
    <w:uiPriority w:val="99"/>
    <w:semiHidden/>
    <w:rsid w:val="006520A2"/>
    <w:rPr>
      <w:rFonts w:ascii="Segoe UI" w:hAnsi="Segoe UI" w:cs="Segoe UI"/>
      <w:sz w:val="18"/>
      <w:szCs w:val="18"/>
      <w:lang w:val="en-US" w:bidi="en-US"/>
    </w:rPr>
  </w:style>
  <w:style w:type="paragraph" w:styleId="Revision">
    <w:name w:val="Revision"/>
    <w:hidden/>
    <w:uiPriority w:val="99"/>
    <w:semiHidden/>
    <w:rsid w:val="004D69BA"/>
    <w:pPr>
      <w:spacing w:after="0" w:line="240" w:lineRule="auto"/>
    </w:pPr>
    <w:rPr>
      <w:rFonts w:ascii="Segoe UI" w:hAnsi="Segoe UI"/>
      <w:szCs w:val="24"/>
      <w:lang w:val="en-US" w:bidi="en-US"/>
    </w:rPr>
  </w:style>
  <w:style w:type="character" w:styleId="UnresolvedMention">
    <w:name w:val="Unresolved Mention"/>
    <w:basedOn w:val="DefaultParagraphFont"/>
    <w:uiPriority w:val="99"/>
    <w:semiHidden/>
    <w:unhideWhenUsed/>
    <w:rsid w:val="00C8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5386">
      <w:bodyDiv w:val="1"/>
      <w:marLeft w:val="0"/>
      <w:marRight w:val="0"/>
      <w:marTop w:val="0"/>
      <w:marBottom w:val="0"/>
      <w:divBdr>
        <w:top w:val="none" w:sz="0" w:space="0" w:color="auto"/>
        <w:left w:val="none" w:sz="0" w:space="0" w:color="auto"/>
        <w:bottom w:val="none" w:sz="0" w:space="0" w:color="auto"/>
        <w:right w:val="none" w:sz="0" w:space="0" w:color="auto"/>
      </w:divBdr>
    </w:div>
    <w:div w:id="1998534644">
      <w:bodyDiv w:val="1"/>
      <w:marLeft w:val="0"/>
      <w:marRight w:val="0"/>
      <w:marTop w:val="0"/>
      <w:marBottom w:val="0"/>
      <w:divBdr>
        <w:top w:val="none" w:sz="0" w:space="0" w:color="auto"/>
        <w:left w:val="none" w:sz="0" w:space="0" w:color="auto"/>
        <w:bottom w:val="none" w:sz="0" w:space="0" w:color="auto"/>
        <w:right w:val="none" w:sz="0" w:space="0" w:color="auto"/>
      </w:divBdr>
      <w:divsChild>
        <w:div w:id="3671749">
          <w:marLeft w:val="878"/>
          <w:marRight w:val="0"/>
          <w:marTop w:val="43"/>
          <w:marBottom w:val="0"/>
          <w:divBdr>
            <w:top w:val="none" w:sz="0" w:space="0" w:color="auto"/>
            <w:left w:val="none" w:sz="0" w:space="0" w:color="auto"/>
            <w:bottom w:val="none" w:sz="0" w:space="0" w:color="auto"/>
            <w:right w:val="none" w:sz="0" w:space="0" w:color="auto"/>
          </w:divBdr>
        </w:div>
        <w:div w:id="464855709">
          <w:marLeft w:val="878"/>
          <w:marRight w:val="0"/>
          <w:marTop w:val="43"/>
          <w:marBottom w:val="0"/>
          <w:divBdr>
            <w:top w:val="none" w:sz="0" w:space="0" w:color="auto"/>
            <w:left w:val="none" w:sz="0" w:space="0" w:color="auto"/>
            <w:bottom w:val="none" w:sz="0" w:space="0" w:color="auto"/>
            <w:right w:val="none" w:sz="0" w:space="0" w:color="auto"/>
          </w:divBdr>
        </w:div>
        <w:div w:id="759915395">
          <w:marLeft w:val="878"/>
          <w:marRight w:val="0"/>
          <w:marTop w:val="43"/>
          <w:marBottom w:val="0"/>
          <w:divBdr>
            <w:top w:val="none" w:sz="0" w:space="0" w:color="auto"/>
            <w:left w:val="none" w:sz="0" w:space="0" w:color="auto"/>
            <w:bottom w:val="none" w:sz="0" w:space="0" w:color="auto"/>
            <w:right w:val="none" w:sz="0" w:space="0" w:color="auto"/>
          </w:divBdr>
        </w:div>
        <w:div w:id="812606005">
          <w:marLeft w:val="878"/>
          <w:marRight w:val="0"/>
          <w:marTop w:val="43"/>
          <w:marBottom w:val="0"/>
          <w:divBdr>
            <w:top w:val="none" w:sz="0" w:space="0" w:color="auto"/>
            <w:left w:val="none" w:sz="0" w:space="0" w:color="auto"/>
            <w:bottom w:val="none" w:sz="0" w:space="0" w:color="auto"/>
            <w:right w:val="none" w:sz="0" w:space="0" w:color="auto"/>
          </w:divBdr>
        </w:div>
        <w:div w:id="1556964753">
          <w:marLeft w:val="878"/>
          <w:marRight w:val="0"/>
          <w:marTop w:val="43"/>
          <w:marBottom w:val="0"/>
          <w:divBdr>
            <w:top w:val="none" w:sz="0" w:space="0" w:color="auto"/>
            <w:left w:val="none" w:sz="0" w:space="0" w:color="auto"/>
            <w:bottom w:val="none" w:sz="0" w:space="0" w:color="auto"/>
            <w:right w:val="none" w:sz="0" w:space="0" w:color="auto"/>
          </w:divBdr>
        </w:div>
        <w:div w:id="1714965581">
          <w:marLeft w:val="878"/>
          <w:marRight w:val="0"/>
          <w:marTop w:val="43"/>
          <w:marBottom w:val="0"/>
          <w:divBdr>
            <w:top w:val="none" w:sz="0" w:space="0" w:color="auto"/>
            <w:left w:val="none" w:sz="0" w:space="0" w:color="auto"/>
            <w:bottom w:val="none" w:sz="0" w:space="0" w:color="auto"/>
            <w:right w:val="none" w:sz="0" w:space="0" w:color="auto"/>
          </w:divBdr>
        </w:div>
        <w:div w:id="1749887752">
          <w:marLeft w:val="878"/>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jectblue.blob.core.windows.net/media/Default/About%20AHDB/Reports%20and%20reviews/SIP_HGCA_September%202020%20publi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w-wan\files\templates\Office%20Templates\bwSmallReport.dotx" TargetMode="External"/></Relationships>
</file>

<file path=word/theme/theme1.xml><?xml version="1.0" encoding="utf-8"?>
<a:theme xmlns:a="http://schemas.openxmlformats.org/drawingml/2006/main" name="Barnett Waddingham">
  <a:themeElements>
    <a:clrScheme name="Barnett Waddingham">
      <a:dk1>
        <a:sysClr val="windowText" lastClr="000000"/>
      </a:dk1>
      <a:lt1>
        <a:sysClr val="window" lastClr="FFFFFF"/>
      </a:lt1>
      <a:dk2>
        <a:srgbClr val="0069B4"/>
      </a:dk2>
      <a:lt2>
        <a:srgbClr val="009FE3"/>
      </a:lt2>
      <a:accent1>
        <a:srgbClr val="41C0F0"/>
      </a:accent1>
      <a:accent2>
        <a:srgbClr val="A1DAF8"/>
      </a:accent2>
      <a:accent3>
        <a:srgbClr val="797979"/>
      </a:accent3>
      <a:accent4>
        <a:srgbClr val="C0C0C0"/>
      </a:accent4>
      <a:accent5>
        <a:srgbClr val="68C0B5"/>
      </a:accent5>
      <a:accent6>
        <a:srgbClr val="F5DE7A"/>
      </a:accent6>
      <a:hlink>
        <a:srgbClr val="1192D1"/>
      </a:hlink>
      <a:folHlink>
        <a:srgbClr val="4B08A1"/>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2DE59C-5998-4D75-B829-24F29E97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bwSmallReport</Template>
  <TotalTime>5</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Implementation Statement</vt:lpstr>
    </vt:vector>
  </TitlesOfParts>
  <Company>Barnett Waddingham</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Statement</dc:title>
  <dc:subject/>
  <dc:creator>Eva Grace</dc:creator>
  <cp:keywords/>
  <dc:description/>
  <cp:lastModifiedBy>Stephen Cronin</cp:lastModifiedBy>
  <cp:revision>4</cp:revision>
  <cp:lastPrinted>2021-06-21T14:26:00Z</cp:lastPrinted>
  <dcterms:created xsi:type="dcterms:W3CDTF">2022-06-22T15:26:00Z</dcterms:created>
  <dcterms:modified xsi:type="dcterms:W3CDTF">2022-06-22T15:31:00Z</dcterms:modified>
</cp:coreProperties>
</file>